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dm-earnings-predictions--2026-08-04"/>
    <w:p>
      <w:pPr>
        <w:pStyle w:val="Heading1"/>
      </w:pPr>
      <w:r>
        <w:t xml:space="preserve">ADM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~$1.52 vs. cons $1.42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Ag Services &amp; Oilseeds segment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~$18.0B vs. cons $17.5B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~$22.6B vs. cons $22.4B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~$4.60 (range tightened/raised toward</w:t>
            </w:r>
            <w:r>
              <w:t xml:space="preserve"> </w:t>
            </w:r>
            <m:oMath>
              <m:r>
                <m:t>4.40</m:t>
              </m:r>
              <m:r>
                <m:rPr>
                  <m:sty m:val="p"/>
                </m:rPr>
                <m:t>−</m:t>
              </m:r>
            </m:oMath>
            <w:r>
              <w:t xml:space="preserve">4.80) vs. cons $4.40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45Z blender's tax credit benefit estimate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~$175M vs. prior stated $150M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Cost-savings program run-rate progress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~$200M cumulative run-rate vs. cons/prior</w:t>
            </w:r>
            <w:r>
              <w:t xml:space="preserve"> </w:t>
            </w:r>
            <m:oMath>
              <m:r>
                <m:t>500</m:t>
              </m:r>
              <m:r>
                <m:rPr>
                  <m:sty m:val="p"/>
                </m:rPr>
                <m:t>−</m:t>
              </m:r>
              <m:r>
                <m:t>750</m:t>
              </m:r>
              <m:r>
                <m:t>M</m:t>
              </m:r>
              <m:r>
                <m:t>m</m:t>
              </m:r>
              <m:r>
                <m:t>u</m:t>
              </m:r>
              <m:r>
                <m:t>l</m:t>
              </m:r>
              <m:r>
                <m:t>t</m:t>
              </m:r>
              <m:r>
                <m:t>i</m:t>
              </m:r>
              <m:r>
                <m:rPr>
                  <m:sty m:val="p"/>
                </m:rPr>
                <m:t>−</m:t>
              </m:r>
              <m:r>
                <m:t>y</m:t>
              </m:r>
              <m:r>
                <m:t>e</m:t>
              </m:r>
              <m:r>
                <m:t>a</m:t>
              </m:r>
              <m:r>
                <m:t>r</m:t>
              </m:r>
              <m:r>
                <m:t>t</m:t>
              </m:r>
              <m:r>
                <m:t>a</m:t>
              </m:r>
              <m:r>
                <m:t>r</m:t>
              </m:r>
              <m:r>
                <m:t>g</m:t>
              </m:r>
              <m:r>
                <m:t>e</m:t>
              </m:r>
              <m:r>
                <m:t>t</m:t>
              </m:r>
              <m:r>
                <m:t>p</m:t>
              </m:r>
              <m:r>
                <m:t>a</m:t>
              </m:r>
              <m:r>
                <m:t>c</m:t>
              </m:r>
              <m:r>
                <m:t>e</m:t>
              </m:r>
              <m:r>
                <m:t> </m:t>
              </m:r>
            </m:oMath>
            <w:r>
              <w:t xml:space="preserve">180M (2026 YTD)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Q1 call already pre-announced the Q2 tailwinds (MTM reversal, Nutrition seasonality, ethanol strength), so much of the beat is pre-priced into the</w:t>
            </w:r>
            <w:r>
              <w:t xml:space="preserve"> </w:t>
            </w:r>
            <m:oMath>
              <m:r>
                <m:t>1.42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t</m:t>
              </m:r>
              <m:r>
                <m:t>h</m:t>
              </m:r>
              <m:r>
                <m:t>e</m:t>
              </m:r>
              <m:r>
                <m:t>s</m:t>
              </m:r>
              <m:r>
                <m:t>t</m:t>
              </m:r>
              <m:r>
                <m:t>o</m:t>
              </m:r>
              <m:r>
                <m:t>c</m:t>
              </m:r>
              <m:sSup>
                <m:e>
                  <m:r>
                    <m:t>k</m:t>
                  </m:r>
                </m:e>
                <m:sup>
                  <m:r>
                    <m:rPr>
                      <m:sty m:val="p"/>
                    </m:rPr>
                    <m:t>′</m:t>
                  </m:r>
                </m:sup>
              </m:sSup>
              <m:r>
                <m:t>s</m:t>
              </m:r>
              <m:r>
                <m:t>o</m:t>
              </m:r>
              <m:r>
                <m:t>w</m:t>
              </m:r>
              <m:r>
                <m:t>n</m:t>
              </m:r>
              <m:r>
                <m:t> </m:t>
              </m:r>
              <m:r>
                <m:t>30</m:t>
              </m:r>
            </m:oMath>
            <w:r>
              <w:t xml:space="preserve">74.8) still below spot ($78) and a Hold-rated consensus, any FY guide raise mostly reflects the flagged MTM/45Z reversal rather than new incremental demand, so analysts are likely to trim H2 crush-margin assumptions (inverted crush curve into 2H26) even after a headline beat, causing the initial pop to fade over the week.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2026-08-04T00:30:41Z</dcterms:created>
  <dcterms:modified xsi:type="dcterms:W3CDTF">2026-08-04T00:30:41Z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