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Archer-Daniels-Midland Company (ADM) — Q2 2026 Earnings Preview</w:t>
      </w:r>
    </w:p>
    <w:p>
      <w:r>
        <w:rPr>
          <w:rFonts w:ascii="Calibri" w:hAnsi="Calibri"/>
          <w:b/>
          <w:color w:val="525866"/>
          <w:sz w:val="22"/>
        </w:rPr>
        <w:t xml:space="preserve">Ticker: </w:t>
      </w:r>
      <w:r>
        <w:rPr>
          <w:rFonts w:ascii="Calibri" w:hAnsi="Calibri"/>
          <w:color w:val="525866"/>
          <w:sz w:val="22"/>
        </w:rPr>
        <w:t xml:space="preserve">ADM   </w:t>
      </w:r>
      <w:r>
        <w:rPr>
          <w:rFonts w:ascii="Calibri" w:hAnsi="Calibri"/>
          <w:b/>
          <w:color w:val="525866"/>
          <w:sz w:val="22"/>
        </w:rPr>
        <w:t xml:space="preserve">Earnings Date: </w:t>
      </w:r>
      <w:r>
        <w:rPr>
          <w:rFonts w:ascii="Calibri" w:hAnsi="Calibri"/>
          <w:color w:val="525866"/>
          <w:sz w:val="22"/>
        </w:rPr>
        <w:t xml:space="preserve">August 4, 2026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August 3, 2026</w:t>
      </w:r>
    </w:p>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Setup leans toward a beat — management explicitly guided Q2 to be stronger than Q1, the ~$275M mark-to-market headwind from Q1 is expected to largely reverse, and consensus has moved up modestly since the Q1 print; the biggest swing factor is whether realized crush margins match the constructive futures environment.</w:t>
      </w:r>
    </w:p>
    <w:p>
      <w:r>
        <w:rPr>
          <w:rFonts w:ascii="Calibri" w:hAnsi="Calibri"/>
          <w:color w:val="525866"/>
          <w:sz w:val="22"/>
        </w:rPr>
        <w:t xml:space="preserve">Heading into the Q2 2026 print, the </w:t>
      </w:r>
      <w:r>
        <w:rPr>
          <w:rFonts w:ascii="Calibri" w:hAnsi="Calibri"/>
          <w:b/>
          <w:color w:val="525866"/>
          <w:sz w:val="22"/>
        </w:rPr>
        <w:t>bar is achievable but not low</w:t>
      </w:r>
      <w:r>
        <w:rPr>
          <w:rFonts w:ascii="Calibri" w:hAnsi="Calibri"/>
          <w:color w:val="525866"/>
          <w:sz w:val="22"/>
        </w:rPr>
        <w:t xml:space="preserve"> — consensus adjusted EPS of $1.44 implies a meaningful step-up from Q1's $0.71, consistent with management's explicit guidance that Q2 would be stronger than Q1 driven by mark-to-market reversals, seasonal Nutrition strength, and continued ethanol tailwinds. </w:t>
      </w:r>
      <w:r>
        <w:rPr>
          <w:rFonts w:ascii="Calibri" w:hAnsi="Calibri"/>
          <w:b/>
          <w:color w:val="525866"/>
          <w:sz w:val="22"/>
        </w:rPr>
        <w:t>Management tone has shifted decisively constructive</w:t>
      </w:r>
      <w:r>
        <w:rPr>
          <w:rFonts w:ascii="Calibri" w:hAnsi="Calibri"/>
          <w:color w:val="525866"/>
          <w:sz w:val="22"/>
        </w:rPr>
        <w:t xml:space="preserve"> since the Q4 2025 call: the Q1 2026 print included a full-year EPS guidance raise to $4.15–$4.70 (from $3.60–$4.25), underpinned by EPA finalization of 2026–2027 RVOs in late March and a $150M full-year 45Z tax credit benefit (up from $100M prior). </w:t>
      </w:r>
      <w:r>
        <w:rPr>
          <w:rFonts w:ascii="Calibri" w:hAnsi="Calibri"/>
          <w:b/>
          <w:color w:val="525866"/>
          <w:sz w:val="22"/>
        </w:rPr>
        <w:t>Estimate revisions have tracked guidance upward</w:t>
      </w:r>
      <w:r>
        <w:rPr>
          <w:rFonts w:ascii="Calibri" w:hAnsi="Calibri"/>
          <w:color w:val="525866"/>
          <w:sz w:val="22"/>
        </w:rPr>
        <w:t xml:space="preserve"> — Q2 2026 EPS consensus rose from $1.39 to $1.44 in the weeks following the Q1 print, and FY2026 EPS consensus moved from $4.57 to $4.78, both directionally aligned with the raised guidance range. </w:t>
      </w:r>
      <w:r>
        <w:rPr>
          <w:rFonts w:ascii="Calibri" w:hAnsi="Calibri"/>
          <w:b/>
          <w:color w:val="525866"/>
          <w:sz w:val="22"/>
        </w:rPr>
        <w:t>The stock has underperformed</w:t>
      </w:r>
      <w:r>
        <w:rPr>
          <w:rFonts w:ascii="Calibri" w:hAnsi="Calibri"/>
          <w:color w:val="525866"/>
          <w:sz w:val="22"/>
        </w:rPr>
        <w:t xml:space="preserve"> MOO and the S&amp;P 500 since the Q1 earnings date, trading roughly flat to slightly down versus peers, suggesting the market has not fully priced in the improved earnings trajectory and leaving room for a positive re-rating on a clean beat. </w:t>
      </w:r>
      <w:r>
        <w:rPr>
          <w:rFonts w:ascii="Calibri" w:hAnsi="Calibri"/>
          <w:b/>
          <w:color w:val="525866"/>
          <w:sz w:val="22"/>
        </w:rPr>
        <w:t>The key wildcard is the inverted soy crush futures curve</w:t>
      </w:r>
      <w:r>
        <w:rPr>
          <w:rFonts w:ascii="Calibri" w:hAnsi="Calibri"/>
          <w:color w:val="525866"/>
          <w:sz w:val="22"/>
        </w:rPr>
        <w:t>: while near-term realized margins are strong, the curve signals market skepticism about sustainability, and any softening in realized crush or ethanol margins — or a negative mark-to-market swing — could offset the expected Q1 reversal and disappoint versus the elevated Q2 bar.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 bar for Q2 relative to Q1 actuals, with adjusted EPS expected to roughly double quarter-over-quarter; </w:t>
      </w:r>
      <w:r>
        <w:rPr>
          <w:rFonts w:ascii="Calibri" w:hAnsi="Calibri"/>
          <w:b/>
          <w:color w:val="525866"/>
          <w:sz w:val="22"/>
        </w:rPr>
        <w:t>Total Segment Operating Profit is the bigger swing factor</w:t>
      </w:r>
      <w:r>
        <w:rPr>
          <w:rFonts w:ascii="Calibri" w:hAnsi="Calibri"/>
          <w:color w:val="525866"/>
          <w:sz w:val="22"/>
        </w:rPr>
        <w:t xml:space="preserve"> — the $1.27B consensus implies a ~55% sequential jump, heavily dependent on the Q1 mark-to-market reversal materializing in Crushing and AS&amp;O.</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Diluted EPS ($)</w:t>
            </w:r>
          </w:p>
        </w:tc>
        <w:tc>
          <w:tcPr>
            <w:tcW w:type="dxa" w:w="1234"/>
          </w:tcPr>
          <w:p>
            <w:r>
              <w:rPr>
                <w:rFonts w:ascii="Calibri" w:hAnsi="Calibri"/>
                <w:sz w:val="22"/>
              </w:rPr>
              <w:t>$0.71</w:t>
            </w:r>
          </w:p>
        </w:tc>
        <w:tc>
          <w:tcPr>
            <w:tcW w:type="dxa" w:w="1234"/>
          </w:tcPr>
          <w:p>
            <w:r>
              <w:rPr>
                <w:rFonts w:ascii="Calibri" w:hAnsi="Calibri"/>
                <w:sz w:val="22"/>
              </w:rPr>
              <w:t>$0.93</w:t>
            </w:r>
          </w:p>
        </w:tc>
        <w:tc>
          <w:tcPr>
            <w:tcW w:type="dxa" w:w="1234"/>
          </w:tcPr>
          <w:p>
            <w:r>
              <w:rPr>
                <w:rFonts w:ascii="Calibri" w:hAnsi="Calibri"/>
                <w:sz w:val="22"/>
              </w:rPr>
              <w:t>$1.44</w:t>
            </w:r>
          </w:p>
        </w:tc>
        <w:tc>
          <w:tcPr>
            <w:tcW w:type="dxa" w:w="1234"/>
          </w:tcPr>
          <w:p>
            <w:r>
              <w:rPr>
                <w:rFonts w:ascii="Calibri" w:hAnsi="Calibri"/>
                <w:sz w:val="22"/>
              </w:rPr>
              <w:t>+55% YoY</w:t>
            </w:r>
          </w:p>
        </w:tc>
        <w:tc>
          <w:tcPr>
            <w:tcW w:type="dxa" w:w="1234"/>
          </w:tcPr>
          <w:p>
            <w:r>
              <w:rPr>
                <w:rFonts w:ascii="Calibri" w:hAnsi="Calibri"/>
                <w:sz w:val="22"/>
              </w:rPr>
              <w:t>FY $4.15–$4.70 (no Q2-specific)</w:t>
            </w:r>
          </w:p>
        </w:tc>
        <w:tc>
          <w:tcPr>
            <w:tcW w:type="dxa" w:w="1234"/>
          </w:tcPr>
          <w:p>
            <w:r>
              <w:rPr>
                <w:rFonts w:ascii="Calibri" w:hAnsi="Calibri"/>
                <w:sz w:val="22"/>
              </w:rPr>
              <w:t>N/A (no Q2 guidance)</w:t>
            </w:r>
          </w:p>
        </w:tc>
      </w:tr>
      <w:tr>
        <w:tc>
          <w:tcPr>
            <w:tcW w:type="dxa" w:w="1234"/>
          </w:tcPr>
          <w:p>
            <w:r>
              <w:rPr>
                <w:rFonts w:ascii="Calibri" w:hAnsi="Calibri"/>
                <w:sz w:val="22"/>
              </w:rPr>
              <w:t>Revenue ($B)</w:t>
            </w:r>
          </w:p>
        </w:tc>
        <w:tc>
          <w:tcPr>
            <w:tcW w:type="dxa" w:w="1234"/>
          </w:tcPr>
          <w:p>
            <w:r>
              <w:rPr>
                <w:rFonts w:ascii="Calibri" w:hAnsi="Calibri"/>
                <w:sz w:val="22"/>
              </w:rPr>
              <w:t>$20.49B</w:t>
            </w:r>
          </w:p>
        </w:tc>
        <w:tc>
          <w:tcPr>
            <w:tcW w:type="dxa" w:w="1234"/>
          </w:tcPr>
          <w:p>
            <w:r>
              <w:rPr>
                <w:rFonts w:ascii="Calibri" w:hAnsi="Calibri"/>
                <w:sz w:val="22"/>
              </w:rPr>
              <w:t>$21.17B</w:t>
            </w:r>
          </w:p>
        </w:tc>
        <w:tc>
          <w:tcPr>
            <w:tcW w:type="dxa" w:w="1234"/>
          </w:tcPr>
          <w:p>
            <w:r>
              <w:rPr>
                <w:rFonts w:ascii="Calibri" w:hAnsi="Calibri"/>
                <w:sz w:val="22"/>
              </w:rPr>
              <w:t>$22.19B</w:t>
            </w:r>
          </w:p>
        </w:tc>
        <w:tc>
          <w:tcPr>
            <w:tcW w:type="dxa" w:w="1234"/>
          </w:tcPr>
          <w:p>
            <w:r>
              <w:rPr>
                <w:rFonts w:ascii="Calibri" w:hAnsi="Calibri"/>
                <w:sz w:val="22"/>
              </w:rPr>
              <w:t>+4.8%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Total Segment Operating Profit ($B)</w:t>
            </w:r>
          </w:p>
        </w:tc>
        <w:tc>
          <w:tcPr>
            <w:tcW w:type="dxa" w:w="1234"/>
          </w:tcPr>
          <w:p>
            <w:r>
              <w:rPr>
                <w:rFonts w:ascii="Calibri" w:hAnsi="Calibri"/>
                <w:sz w:val="22"/>
              </w:rPr>
              <w:t>$0.82B</w:t>
            </w:r>
          </w:p>
        </w:tc>
        <w:tc>
          <w:tcPr>
            <w:tcW w:type="dxa" w:w="1234"/>
          </w:tcPr>
          <w:p>
            <w:r>
              <w:rPr>
                <w:rFonts w:ascii="Calibri" w:hAnsi="Calibri"/>
                <w:sz w:val="22"/>
              </w:rPr>
              <w:t>$0.92B</w:t>
            </w:r>
          </w:p>
        </w:tc>
        <w:tc>
          <w:tcPr>
            <w:tcW w:type="dxa" w:w="1234"/>
          </w:tcPr>
          <w:p>
            <w:r>
              <w:rPr>
                <w:rFonts w:ascii="Calibri" w:hAnsi="Calibri"/>
                <w:sz w:val="22"/>
              </w:rPr>
              <w:t>$1.27B</w:t>
            </w:r>
          </w:p>
        </w:tc>
        <w:tc>
          <w:tcPr>
            <w:tcW w:type="dxa" w:w="1234"/>
          </w:tcPr>
          <w:p>
            <w:r>
              <w:rPr>
                <w:rFonts w:ascii="Calibri" w:hAnsi="Calibri"/>
                <w:sz w:val="22"/>
              </w:rPr>
              <w:t>+37.3%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AG Services &amp; Oilseeds Op. Profit ($M)</w:t>
            </w:r>
          </w:p>
        </w:tc>
        <w:tc>
          <w:tcPr>
            <w:tcW w:type="dxa" w:w="1234"/>
          </w:tcPr>
          <w:p>
            <w:r>
              <w:rPr>
                <w:rFonts w:ascii="Calibri" w:hAnsi="Calibri"/>
                <w:sz w:val="22"/>
              </w:rPr>
              <w:t>$273M</w:t>
            </w:r>
          </w:p>
        </w:tc>
        <w:tc>
          <w:tcPr>
            <w:tcW w:type="dxa" w:w="1234"/>
          </w:tcPr>
          <w:p>
            <w:r>
              <w:rPr>
                <w:rFonts w:ascii="Calibri" w:hAnsi="Calibri"/>
                <w:sz w:val="22"/>
              </w:rPr>
              <w:t>$379M</w:t>
            </w:r>
          </w:p>
        </w:tc>
        <w:tc>
          <w:tcPr>
            <w:tcW w:type="dxa" w:w="1234"/>
          </w:tcPr>
          <w:p>
            <w:r>
              <w:rPr>
                <w:rFonts w:ascii="Calibri" w:hAnsi="Calibri"/>
                <w:sz w:val="22"/>
              </w:rPr>
              <w:t>$723M</w:t>
            </w:r>
          </w:p>
        </w:tc>
        <w:tc>
          <w:tcPr>
            <w:tcW w:type="dxa" w:w="1234"/>
          </w:tcPr>
          <w:p>
            <w:r>
              <w:rPr>
                <w:rFonts w:ascii="Calibri" w:hAnsi="Calibri"/>
                <w:sz w:val="22"/>
              </w:rPr>
              <w:t>+90.8% YoY</w:t>
            </w:r>
          </w:p>
        </w:tc>
        <w:tc>
          <w:tcPr>
            <w:tcW w:type="dxa" w:w="1234"/>
          </w:tcPr>
          <w:p>
            <w:r>
              <w:rPr>
                <w:rFonts w:ascii="Calibri" w:hAnsi="Calibri"/>
                <w:sz w:val="22"/>
              </w:rPr>
              <w:t>Constructive biofuel env.; China normalized buying</w:t>
            </w:r>
          </w:p>
        </w:tc>
        <w:tc>
          <w:tcPr>
            <w:tcW w:type="dxa" w:w="1234"/>
          </w:tcPr>
          <w:p>
            <w:r>
              <w:rPr>
                <w:rFonts w:ascii="Calibri" w:hAnsi="Calibri"/>
                <w:sz w:val="22"/>
              </w:rPr>
              <w:t>N/A</w:t>
            </w:r>
          </w:p>
        </w:tc>
      </w:tr>
      <w:tr>
        <w:tc>
          <w:tcPr>
            <w:tcW w:type="dxa" w:w="1234"/>
          </w:tcPr>
          <w:p>
            <w:r>
              <w:rPr>
                <w:rFonts w:ascii="Calibri" w:hAnsi="Calibri"/>
                <w:sz w:val="22"/>
              </w:rPr>
              <w:t>Crushing Op. Profit ($M)</w:t>
            </w:r>
          </w:p>
        </w:tc>
        <w:tc>
          <w:tcPr>
            <w:tcW w:type="dxa" w:w="1234"/>
          </w:tcPr>
          <w:p>
            <w:r>
              <w:rPr>
                <w:rFonts w:ascii="Calibri" w:hAnsi="Calibri"/>
                <w:sz w:val="22"/>
              </w:rPr>
              <w:t>-$79M</w:t>
            </w:r>
          </w:p>
        </w:tc>
        <w:tc>
          <w:tcPr>
            <w:tcW w:type="dxa" w:w="1234"/>
          </w:tcPr>
          <w:p>
            <w:r>
              <w:rPr>
                <w:rFonts w:ascii="Calibri" w:hAnsi="Calibri"/>
                <w:sz w:val="22"/>
              </w:rPr>
              <w:t>$33M</w:t>
            </w:r>
          </w:p>
        </w:tc>
        <w:tc>
          <w:tcPr>
            <w:tcW w:type="dxa" w:w="1234"/>
          </w:tcPr>
          <w:p>
            <w:r>
              <w:rPr>
                <w:rFonts w:ascii="Calibri" w:hAnsi="Calibri"/>
                <w:sz w:val="22"/>
              </w:rPr>
              <w:t>$256M</w:t>
            </w:r>
          </w:p>
        </w:tc>
        <w:tc>
          <w:tcPr>
            <w:tcW w:type="dxa" w:w="1234"/>
          </w:tcPr>
          <w:p>
            <w:r>
              <w:rPr>
                <w:rFonts w:ascii="Calibri" w:hAnsi="Calibri"/>
                <w:sz w:val="22"/>
              </w:rPr>
              <w:t>+676% YoY</w:t>
            </w:r>
          </w:p>
        </w:tc>
        <w:tc>
          <w:tcPr>
            <w:tcW w:type="dxa" w:w="1234"/>
          </w:tcPr>
          <w:p>
            <w:r>
              <w:rPr>
                <w:rFonts w:ascii="Calibri" w:hAnsi="Calibri"/>
                <w:sz w:val="22"/>
              </w:rPr>
              <w:t>Improved margin env. to continue</w:t>
            </w:r>
          </w:p>
        </w:tc>
        <w:tc>
          <w:tcPr>
            <w:tcW w:type="dxa" w:w="1234"/>
          </w:tcPr>
          <w:p>
            <w:r>
              <w:rPr>
                <w:rFonts w:ascii="Calibri" w:hAnsi="Calibri"/>
                <w:sz w:val="22"/>
              </w:rPr>
              <w:t>N/A</w:t>
            </w:r>
          </w:p>
        </w:tc>
      </w:tr>
      <w:tr>
        <w:tc>
          <w:tcPr>
            <w:tcW w:type="dxa" w:w="1234"/>
          </w:tcPr>
          <w:p>
            <w:r>
              <w:rPr>
                <w:rFonts w:ascii="Calibri" w:hAnsi="Calibri"/>
                <w:sz w:val="22"/>
              </w:rPr>
              <w:t>Carbohydrate Solutions Op. Profit ($M)</w:t>
            </w:r>
          </w:p>
        </w:tc>
        <w:tc>
          <w:tcPr>
            <w:tcW w:type="dxa" w:w="1234"/>
          </w:tcPr>
          <w:p>
            <w:r>
              <w:rPr>
                <w:rFonts w:ascii="Calibri" w:hAnsi="Calibri"/>
                <w:sz w:val="22"/>
              </w:rPr>
              <w:t>$356M</w:t>
            </w:r>
          </w:p>
        </w:tc>
        <w:tc>
          <w:tcPr>
            <w:tcW w:type="dxa" w:w="1234"/>
          </w:tcPr>
          <w:p>
            <w:r>
              <w:rPr>
                <w:rFonts w:ascii="Calibri" w:hAnsi="Calibri"/>
                <w:sz w:val="22"/>
              </w:rPr>
              <w:t>$337M</w:t>
            </w:r>
          </w:p>
        </w:tc>
        <w:tc>
          <w:tcPr>
            <w:tcW w:type="dxa" w:w="1234"/>
          </w:tcPr>
          <w:p>
            <w:r>
              <w:rPr>
                <w:rFonts w:ascii="Calibri" w:hAnsi="Calibri"/>
                <w:sz w:val="22"/>
              </w:rPr>
              <w:t>$354M</w:t>
            </w:r>
          </w:p>
        </w:tc>
        <w:tc>
          <w:tcPr>
            <w:tcW w:type="dxa" w:w="1234"/>
          </w:tcPr>
          <w:p>
            <w:r>
              <w:rPr>
                <w:rFonts w:ascii="Calibri" w:hAnsi="Calibri"/>
                <w:sz w:val="22"/>
              </w:rPr>
              <w:t>+5.0% YoY</w:t>
            </w:r>
          </w:p>
        </w:tc>
        <w:tc>
          <w:tcPr>
            <w:tcW w:type="dxa" w:w="1234"/>
          </w:tcPr>
          <w:p>
            <w:r>
              <w:rPr>
                <w:rFonts w:ascii="Calibri" w:hAnsi="Calibri"/>
                <w:sz w:val="22"/>
              </w:rPr>
              <w:t>Ethanol strength to offset S&amp;S softness</w:t>
            </w:r>
          </w:p>
        </w:tc>
        <w:tc>
          <w:tcPr>
            <w:tcW w:type="dxa" w:w="1234"/>
          </w:tcPr>
          <w:p>
            <w:r>
              <w:rPr>
                <w:rFonts w:ascii="Calibri" w:hAnsi="Calibri"/>
                <w:sz w:val="22"/>
              </w:rPr>
              <w:t>N/A</w:t>
            </w:r>
          </w:p>
        </w:tc>
      </w:tr>
      <w:tr>
        <w:tc>
          <w:tcPr>
            <w:tcW w:type="dxa" w:w="1234"/>
          </w:tcPr>
          <w:p>
            <w:r>
              <w:rPr>
                <w:rFonts w:ascii="Calibri" w:hAnsi="Calibri"/>
                <w:sz w:val="22"/>
              </w:rPr>
              <w:t>Nutrition Op. Profit ($M)</w:t>
            </w:r>
          </w:p>
        </w:tc>
        <w:tc>
          <w:tcPr>
            <w:tcW w:type="dxa" w:w="1234"/>
          </w:tcPr>
          <w:p>
            <w:r>
              <w:rPr>
                <w:rFonts w:ascii="Calibri" w:hAnsi="Calibri"/>
                <w:sz w:val="22"/>
              </w:rPr>
              <w:t>$135M</w:t>
            </w:r>
          </w:p>
        </w:tc>
        <w:tc>
          <w:tcPr>
            <w:tcW w:type="dxa" w:w="1234"/>
          </w:tcPr>
          <w:p>
            <w:r>
              <w:rPr>
                <w:rFonts w:ascii="Calibri" w:hAnsi="Calibri"/>
                <w:sz w:val="22"/>
              </w:rPr>
              <w:t>$114M</w:t>
            </w:r>
          </w:p>
        </w:tc>
        <w:tc>
          <w:tcPr>
            <w:tcW w:type="dxa" w:w="1234"/>
          </w:tcPr>
          <w:p>
            <w:r>
              <w:rPr>
                <w:rFonts w:ascii="Calibri" w:hAnsi="Calibri"/>
                <w:sz w:val="22"/>
              </w:rPr>
              <w:t>$147M</w:t>
            </w:r>
          </w:p>
        </w:tc>
        <w:tc>
          <w:tcPr>
            <w:tcW w:type="dxa" w:w="1234"/>
          </w:tcPr>
          <w:p>
            <w:r>
              <w:rPr>
                <w:rFonts w:ascii="Calibri" w:hAnsi="Calibri"/>
                <w:sz w:val="22"/>
              </w:rPr>
              <w:t>+28.9% YoY</w:t>
            </w:r>
          </w:p>
        </w:tc>
        <w:tc>
          <w:tcPr>
            <w:tcW w:type="dxa" w:w="1234"/>
          </w:tcPr>
          <w:p>
            <w:r>
              <w:rPr>
                <w:rFonts w:ascii="Calibri" w:hAnsi="Calibri"/>
                <w:sz w:val="22"/>
              </w:rPr>
              <w:t>YoY growth intact; Flavors + Decatur East recovery</w:t>
            </w:r>
          </w:p>
        </w:tc>
        <w:tc>
          <w:tcPr>
            <w:tcW w:type="dxa" w:w="1234"/>
          </w:tcPr>
          <w:p>
            <w:r>
              <w:rPr>
                <w:rFonts w:ascii="Calibri" w:hAnsi="Calibri"/>
                <w:sz w:val="22"/>
              </w:rPr>
              <w:t>N/A</w:t>
            </w:r>
          </w:p>
        </w:tc>
      </w:tr>
      <w:tr>
        <w:tc>
          <w:tcPr>
            <w:tcW w:type="dxa" w:w="1234"/>
          </w:tcPr>
          <w:p>
            <w:r>
              <w:rPr>
                <w:rFonts w:ascii="Calibri" w:hAnsi="Calibri"/>
                <w:sz w:val="22"/>
              </w:rPr>
              <w:t>EBITDA - Operating ($B)</w:t>
            </w:r>
          </w:p>
        </w:tc>
        <w:tc>
          <w:tcPr>
            <w:tcW w:type="dxa" w:w="1234"/>
          </w:tcPr>
          <w:p>
            <w:r>
              <w:rPr>
                <w:rFonts w:ascii="Calibri" w:hAnsi="Calibri"/>
                <w:sz w:val="22"/>
              </w:rPr>
              <w:t>$0.81B</w:t>
            </w:r>
          </w:p>
        </w:tc>
        <w:tc>
          <w:tcPr>
            <w:tcW w:type="dxa" w:w="1234"/>
          </w:tcPr>
          <w:p>
            <w:r>
              <w:rPr>
                <w:rFonts w:ascii="Calibri" w:hAnsi="Calibri"/>
                <w:sz w:val="22"/>
              </w:rPr>
              <w:t>$0.93B</w:t>
            </w:r>
          </w:p>
        </w:tc>
        <w:tc>
          <w:tcPr>
            <w:tcW w:type="dxa" w:w="1234"/>
          </w:tcPr>
          <w:p>
            <w:r>
              <w:rPr>
                <w:rFonts w:ascii="Calibri" w:hAnsi="Calibri"/>
                <w:sz w:val="22"/>
              </w:rPr>
              <w:t>$1.24B</w:t>
            </w:r>
          </w:p>
        </w:tc>
        <w:tc>
          <w:tcPr>
            <w:tcW w:type="dxa" w:w="1234"/>
          </w:tcPr>
          <w:p>
            <w:r>
              <w:rPr>
                <w:rFonts w:ascii="Calibri" w:hAnsi="Calibri"/>
                <w:sz w:val="22"/>
              </w:rPr>
              <w:t>+33.7% YoY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latest available. Q1 2026 Crushing Op. Profit was -$79M due to ~$193M of net negative mark-to-market and timing impacts (70% of the total $275M Q1 MTM headwind); the majority is expected to reverse in Q2.</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$0.71</w:t>
            </w:r>
          </w:p>
        </w:tc>
        <w:tc>
          <w:tcPr>
            <w:tcW w:type="dxa" w:w="1440"/>
          </w:tcPr>
          <w:p>
            <w:r>
              <w:rPr>
                <w:rFonts w:ascii="Calibri" w:hAnsi="Calibri"/>
                <w:sz w:val="22"/>
              </w:rPr>
              <w:t>$0.68</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Seg. Op. Profit</w:t>
            </w:r>
          </w:p>
        </w:tc>
        <w:tc>
          <w:tcPr>
            <w:tcW w:type="dxa" w:w="1440"/>
          </w:tcPr>
          <w:p>
            <w:r>
              <w:rPr>
                <w:rFonts w:ascii="Calibri" w:hAnsi="Calibri"/>
                <w:sz w:val="22"/>
              </w:rPr>
              <w:t>$817M</w:t>
            </w:r>
          </w:p>
        </w:tc>
        <w:tc>
          <w:tcPr>
            <w:tcW w:type="dxa" w:w="1440"/>
          </w:tcPr>
          <w:p>
            <w:r>
              <w:rPr>
                <w:rFonts w:ascii="Calibri" w:hAnsi="Calibri"/>
                <w:sz w:val="22"/>
              </w:rPr>
              <w:t>$838M</w:t>
            </w:r>
          </w:p>
        </w:tc>
        <w:tc>
          <w:tcPr>
            <w:tcW w:type="dxa" w:w="1440"/>
          </w:tcPr>
          <w:p>
            <w:r>
              <w:rPr>
                <w:rFonts w:ascii="Calibri" w:hAnsi="Calibri"/>
                <w:b/>
                <w:color w:val="E5484D"/>
                <w:sz w:val="22"/>
              </w:rPr>
              <w:t>-2.5%</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$0.87</w:t>
            </w:r>
          </w:p>
        </w:tc>
        <w:tc>
          <w:tcPr>
            <w:tcW w:type="dxa" w:w="1440"/>
          </w:tcPr>
          <w:p>
            <w:r>
              <w:rPr>
                <w:rFonts w:ascii="Calibri" w:hAnsi="Calibri"/>
                <w:sz w:val="22"/>
              </w:rPr>
              <w:t>$0.84</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Seg. Op. Profit</w:t>
            </w:r>
          </w:p>
        </w:tc>
        <w:tc>
          <w:tcPr>
            <w:tcW w:type="dxa" w:w="1440"/>
          </w:tcPr>
          <w:p>
            <w:r>
              <w:rPr>
                <w:rFonts w:ascii="Calibri" w:hAnsi="Calibri"/>
                <w:sz w:val="22"/>
              </w:rPr>
              <w:t>$874M</w:t>
            </w:r>
          </w:p>
        </w:tc>
        <w:tc>
          <w:tcPr>
            <w:tcW w:type="dxa" w:w="1440"/>
          </w:tcPr>
          <w:p>
            <w:r>
              <w:rPr>
                <w:rFonts w:ascii="Calibri" w:hAnsi="Calibri"/>
                <w:sz w:val="22"/>
              </w:rPr>
              <w:t>$893M</w:t>
            </w:r>
          </w:p>
        </w:tc>
        <w:tc>
          <w:tcPr>
            <w:tcW w:type="dxa" w:w="1440"/>
          </w:tcPr>
          <w:p>
            <w:r>
              <w:rPr>
                <w:rFonts w:ascii="Calibri" w:hAnsi="Calibri"/>
                <w:b/>
                <w:color w:val="E5484D"/>
                <w:sz w:val="22"/>
              </w:rPr>
              <w:t>-2.1%</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$0.92</w:t>
            </w:r>
          </w:p>
        </w:tc>
        <w:tc>
          <w:tcPr>
            <w:tcW w:type="dxa" w:w="1440"/>
          </w:tcPr>
          <w:p>
            <w:r>
              <w:rPr>
                <w:rFonts w:ascii="Calibri" w:hAnsi="Calibri"/>
                <w:sz w:val="22"/>
              </w:rPr>
              <w:t>$0.83</w:t>
            </w:r>
          </w:p>
        </w:tc>
        <w:tc>
          <w:tcPr>
            <w:tcW w:type="dxa" w:w="1440"/>
          </w:tcPr>
          <w:p>
            <w:r>
              <w:rPr>
                <w:rFonts w:ascii="Calibri" w:hAnsi="Calibri"/>
                <w:b/>
                <w:color w:val="30A46C"/>
                <w:sz w:val="22"/>
              </w:rPr>
              <w:t>+10.8%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Seg. Op. Profit</w:t>
            </w:r>
          </w:p>
        </w:tc>
        <w:tc>
          <w:tcPr>
            <w:tcW w:type="dxa" w:w="1440"/>
          </w:tcPr>
          <w:p>
            <w:r>
              <w:rPr>
                <w:rFonts w:ascii="Calibri" w:hAnsi="Calibri"/>
                <w:sz w:val="22"/>
              </w:rPr>
              <w:t>$900M</w:t>
            </w:r>
          </w:p>
        </w:tc>
        <w:tc>
          <w:tcPr>
            <w:tcW w:type="dxa" w:w="1440"/>
          </w:tcPr>
          <w:p>
            <w:r>
              <w:rPr>
                <w:rFonts w:ascii="Calibri" w:hAnsi="Calibri"/>
                <w:sz w:val="22"/>
              </w:rPr>
              <w:t>$913M</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$0.93</w:t>
            </w:r>
          </w:p>
        </w:tc>
        <w:tc>
          <w:tcPr>
            <w:tcW w:type="dxa" w:w="1440"/>
          </w:tcPr>
          <w:p>
            <w:r>
              <w:rPr>
                <w:rFonts w:ascii="Calibri" w:hAnsi="Calibri"/>
                <w:sz w:val="22"/>
              </w:rPr>
              <w:t>$0.79</w:t>
            </w:r>
          </w:p>
        </w:tc>
        <w:tc>
          <w:tcPr>
            <w:tcW w:type="dxa" w:w="1440"/>
          </w:tcPr>
          <w:p>
            <w:r>
              <w:rPr>
                <w:rFonts w:ascii="Calibri" w:hAnsi="Calibri"/>
                <w:b/>
                <w:color w:val="30A46C"/>
                <w:sz w:val="22"/>
              </w:rPr>
              <w:t>+18.4%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Seg. Op. Profit</w:t>
            </w:r>
          </w:p>
        </w:tc>
        <w:tc>
          <w:tcPr>
            <w:tcW w:type="dxa" w:w="1440"/>
          </w:tcPr>
          <w:p>
            <w:r>
              <w:rPr>
                <w:rFonts w:ascii="Calibri" w:hAnsi="Calibri"/>
                <w:sz w:val="22"/>
              </w:rPr>
              <w:t>$924M</w:t>
            </w:r>
          </w:p>
        </w:tc>
        <w:tc>
          <w:tcPr>
            <w:tcW w:type="dxa" w:w="1440"/>
          </w:tcPr>
          <w:p>
            <w:r>
              <w:rPr>
                <w:rFonts w:ascii="Calibri" w:hAnsi="Calibri"/>
                <w:sz w:val="22"/>
              </w:rPr>
              <w:t>$892M</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$0.70</w:t>
            </w:r>
          </w:p>
        </w:tc>
        <w:tc>
          <w:tcPr>
            <w:tcW w:type="dxa" w:w="1440"/>
          </w:tcPr>
          <w:p>
            <w:r>
              <w:rPr>
                <w:rFonts w:ascii="Calibri" w:hAnsi="Calibri"/>
                <w:sz w:val="22"/>
              </w:rPr>
              <w:t>$0.66</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Seg. Op. Profit</w:t>
            </w:r>
          </w:p>
        </w:tc>
        <w:tc>
          <w:tcPr>
            <w:tcW w:type="dxa" w:w="1440"/>
          </w:tcPr>
          <w:p>
            <w:r>
              <w:rPr>
                <w:rFonts w:ascii="Calibri" w:hAnsi="Calibri"/>
                <w:sz w:val="22"/>
              </w:rPr>
              <w:t>$843M</w:t>
            </w:r>
          </w:p>
        </w:tc>
        <w:tc>
          <w:tcPr>
            <w:tcW w:type="dxa" w:w="1440"/>
          </w:tcPr>
          <w:p>
            <w:r>
              <w:rPr>
                <w:rFonts w:ascii="Calibri" w:hAnsi="Calibri"/>
                <w:sz w:val="22"/>
              </w:rPr>
              <w:t>$807M</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$1.14</w:t>
            </w:r>
          </w:p>
        </w:tc>
        <w:tc>
          <w:tcPr>
            <w:tcW w:type="dxa" w:w="1440"/>
          </w:tcPr>
          <w:p>
            <w:r>
              <w:rPr>
                <w:rFonts w:ascii="Calibri" w:hAnsi="Calibri"/>
                <w:sz w:val="22"/>
              </w:rPr>
              <w:t>$1.15</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Total Seg. Op. Profit</w:t>
            </w:r>
          </w:p>
        </w:tc>
        <w:tc>
          <w:tcPr>
            <w:tcW w:type="dxa" w:w="1440"/>
          </w:tcPr>
          <w:p>
            <w:r>
              <w:rPr>
                <w:rFonts w:ascii="Calibri" w:hAnsi="Calibri"/>
                <w:sz w:val="22"/>
              </w:rPr>
              <w:t>$1,098M</w:t>
            </w:r>
          </w:p>
        </w:tc>
        <w:tc>
          <w:tcPr>
            <w:tcW w:type="dxa" w:w="1440"/>
          </w:tcPr>
          <w:p>
            <w:r>
              <w:rPr>
                <w:rFonts w:ascii="Calibri" w:hAnsi="Calibri"/>
                <w:sz w:val="22"/>
              </w:rPr>
              <w:t>$1,121M</w:t>
            </w:r>
          </w:p>
        </w:tc>
        <w:tc>
          <w:tcPr>
            <w:tcW w:type="dxa" w:w="1440"/>
          </w:tcPr>
          <w:p>
            <w:r>
              <w:rPr>
                <w:rFonts w:ascii="Calibri" w:hAnsi="Calibri"/>
                <w:b/>
                <w:color w:val="E5484D"/>
                <w:sz w:val="22"/>
              </w:rPr>
              <w:t>-2.1%</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$1.10</w:t>
            </w:r>
          </w:p>
        </w:tc>
        <w:tc>
          <w:tcPr>
            <w:tcW w:type="dxa" w:w="1440"/>
          </w:tcPr>
          <w:p>
            <w:r>
              <w:rPr>
                <w:rFonts w:ascii="Calibri" w:hAnsi="Calibri"/>
                <w:sz w:val="22"/>
              </w:rPr>
              <w:t>$1.17</w:t>
            </w:r>
          </w:p>
        </w:tc>
        <w:tc>
          <w:tcPr>
            <w:tcW w:type="dxa" w:w="1440"/>
          </w:tcPr>
          <w:p>
            <w:r>
              <w:rPr>
                <w:rFonts w:ascii="Calibri" w:hAnsi="Calibri"/>
                <w:b/>
                <w:color w:val="E5484D"/>
                <w:sz w:val="22"/>
              </w:rPr>
              <w:t>-6.2%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Total Seg. Op. Profit</w:t>
            </w:r>
          </w:p>
        </w:tc>
        <w:tc>
          <w:tcPr>
            <w:tcW w:type="dxa" w:w="1440"/>
          </w:tcPr>
          <w:p>
            <w:r>
              <w:rPr>
                <w:rFonts w:ascii="Calibri" w:hAnsi="Calibri"/>
                <w:sz w:val="22"/>
              </w:rPr>
              <w:t>$1,020M</w:t>
            </w:r>
          </w:p>
        </w:tc>
        <w:tc>
          <w:tcPr>
            <w:tcW w:type="dxa" w:w="1440"/>
          </w:tcPr>
          <w:p>
            <w:r>
              <w:rPr>
                <w:rFonts w:ascii="Calibri" w:hAnsi="Calibri"/>
                <w:sz w:val="22"/>
              </w:rPr>
              <w:t>$1,079M</w:t>
            </w:r>
          </w:p>
        </w:tc>
        <w:tc>
          <w:tcPr>
            <w:tcW w:type="dxa" w:w="1440"/>
          </w:tcPr>
          <w:p>
            <w:r>
              <w:rPr>
                <w:rFonts w:ascii="Calibri" w:hAnsi="Calibri"/>
                <w:b/>
                <w:color w:val="E5484D"/>
                <w:sz w:val="22"/>
              </w:rPr>
              <w:t>-5.5%</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$1.03</w:t>
            </w:r>
          </w:p>
        </w:tc>
        <w:tc>
          <w:tcPr>
            <w:tcW w:type="dxa" w:w="1440"/>
          </w:tcPr>
          <w:p>
            <w:r>
              <w:rPr>
                <w:rFonts w:ascii="Calibri" w:hAnsi="Calibri"/>
                <w:sz w:val="22"/>
              </w:rPr>
              <w:t>$1.21</w:t>
            </w:r>
          </w:p>
        </w:tc>
        <w:tc>
          <w:tcPr>
            <w:tcW w:type="dxa" w:w="1440"/>
          </w:tcPr>
          <w:p>
            <w:r>
              <w:rPr>
                <w:rFonts w:ascii="Calibri" w:hAnsi="Calibri"/>
                <w:b/>
                <w:color w:val="E5484D"/>
                <w:sz w:val="22"/>
              </w:rPr>
              <w:t>-14.9%</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Total Seg. Op. Profit</w:t>
            </w:r>
          </w:p>
        </w:tc>
        <w:tc>
          <w:tcPr>
            <w:tcW w:type="dxa" w:w="1440"/>
          </w:tcPr>
          <w:p>
            <w:r>
              <w:rPr>
                <w:rFonts w:ascii="Calibri" w:hAnsi="Calibri"/>
                <w:sz w:val="22"/>
              </w:rPr>
              <w:t>$1,021M</w:t>
            </w:r>
          </w:p>
        </w:tc>
        <w:tc>
          <w:tcPr>
            <w:tcW w:type="dxa" w:w="1440"/>
          </w:tcPr>
          <w:p>
            <w:r>
              <w:rPr>
                <w:rFonts w:ascii="Calibri" w:hAnsi="Calibri"/>
                <w:sz w:val="22"/>
              </w:rPr>
              <w:t>$1,180M</w:t>
            </w:r>
          </w:p>
        </w:tc>
        <w:tc>
          <w:tcPr>
            <w:tcW w:type="dxa" w:w="1440"/>
          </w:tcPr>
          <w:p>
            <w:r>
              <w:rPr>
                <w:rFonts w:ascii="Calibri" w:hAnsi="Calibri"/>
                <w:b/>
                <w:color w:val="E5484D"/>
                <w:sz w:val="22"/>
              </w:rPr>
              <w:t>-13.5%</w:t>
            </w:r>
          </w:p>
        </w:tc>
        <w:tc>
          <w:tcPr>
            <w:tcW w:type="dxa" w:w="1440"/>
          </w:tcPr>
          <w:p>
            <w:r>
              <w:rPr>
                <w:rFonts w:ascii="Calibri" w:hAnsi="Calibri"/>
                <w:sz w:val="22"/>
              </w:rPr>
              <w:t>Miss</w:t>
            </w:r>
          </w:p>
        </w:tc>
      </w:tr>
    </w:tbl>
    <w:p>
      <w:r>
        <w:rPr>
          <w:rFonts w:ascii="Calibri" w:hAnsi="Calibri"/>
          <w:color w:val="525866"/>
          <w:sz w:val="22"/>
        </w:rPr>
        <w:t xml:space="preserve">Source: Visible Alpha Consensus and Actuals Data. </w:t>
      </w:r>
    </w:p>
    <w:p>
      <w:r>
        <w:rPr>
          <w:rFonts w:ascii="Calibri" w:hAnsi="Calibri"/>
          <w:b/>
          <w:color w:val="525866"/>
          <w:sz w:val="22"/>
        </w:rPr>
        <w:t xml:space="preserve">Pattern: </w:t>
      </w:r>
      <w:r>
        <w:rPr>
          <w:rFonts w:ascii="Calibri" w:hAnsi="Calibri"/>
          <w:color w:val="525866"/>
          <w:sz w:val="22"/>
        </w:rPr>
        <w:t>ADM has beaten adjusted EPS consensus in 5 of the last 8 quarters, but has consistently missed on Total Segment Operating Profit in recent quarters (Q1 2026, Q4 2025, Q3 2025) — largely driven by mark-to-market timing distortions — suggesting the EPS beat rate overstates underlying operational outperformance; the Q2 2026 setup is unusual in that management has explicitly pre-guided a sequential improvement, raising the bar for a segment-level beat.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materially raised at the Q1 2026 earnings call (May 5, 2026) — the first upward revision in over a year — and no subsequent post-earnings guidance changes have been issued; </w:t>
      </w:r>
      <w:r>
        <w:rPr>
          <w:rFonts w:ascii="Calibri" w:hAnsi="Calibri"/>
          <w:b/>
          <w:color w:val="525866"/>
          <w:sz w:val="22"/>
        </w:rPr>
        <w:t>management tone has shifted from cautious to confidently constructive</w:t>
      </w:r>
      <w:r>
        <w:rPr>
          <w:rFonts w:ascii="Calibri" w:hAnsi="Calibri"/>
          <w:color w:val="525866"/>
          <w:sz w:val="22"/>
        </w:rPr>
        <w:t>, anchored by RVO finalization and a higher 45Z tax credit benefit.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$4.15 – $4.70 (midpoint $4.43)</w:t>
            </w:r>
          </w:p>
        </w:tc>
        <w:tc>
          <w:tcPr>
            <w:tcW w:type="dxa" w:w="1728"/>
          </w:tcPr>
          <w:p>
            <w:r>
              <w:rPr>
                <w:rFonts w:ascii="Calibri" w:hAnsi="Calibri"/>
                <w:sz w:val="22"/>
              </w:rPr>
              <w:t>—</w:t>
            </w:r>
          </w:p>
        </w:tc>
        <w:tc>
          <w:tcPr>
            <w:tcW w:type="dxa" w:w="1728"/>
          </w:tcPr>
          <w:p>
            <w:r>
              <w:rPr>
                <w:rFonts w:ascii="Calibri" w:hAnsi="Calibri"/>
                <w:sz w:val="22"/>
              </w:rPr>
              <w:t>$4.78</w:t>
            </w:r>
          </w:p>
        </w:tc>
        <w:tc>
          <w:tcPr>
            <w:tcW w:type="dxa" w:w="1728"/>
          </w:tcPr>
          <w:p>
            <w:r>
              <w:rPr>
                <w:rFonts w:ascii="Calibri" w:hAnsi="Calibri"/>
                <w:sz w:val="22"/>
              </w:rPr>
              <w:t>↑ Raised at Q1 2026 earnings (May 5) from prior range of $3.60–$4.25; consensus now sits above the midpoint, implying market expects execution toward the high end</w:t>
            </w:r>
          </w:p>
        </w:tc>
      </w:tr>
      <w:tr>
        <w:tc>
          <w:tcPr>
            <w:tcW w:type="dxa" w:w="1728"/>
          </w:tcPr>
          <w:p>
            <w:r>
              <w:rPr>
                <w:rFonts w:ascii="Calibri" w:hAnsi="Calibri"/>
                <w:sz w:val="22"/>
              </w:rPr>
              <w:t>FY 2026 CapEx</w:t>
            </w:r>
          </w:p>
        </w:tc>
        <w:tc>
          <w:tcPr>
            <w:tcW w:type="dxa" w:w="1728"/>
          </w:tcPr>
          <w:p>
            <w:r>
              <w:rPr>
                <w:rFonts w:ascii="Calibri" w:hAnsi="Calibri"/>
                <w:sz w:val="22"/>
              </w:rPr>
              <w:t>$1.3B – $1.5B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from prior guidance; $194M invested in Q1 2026</w:t>
            </w:r>
          </w:p>
        </w:tc>
      </w:tr>
      <w:tr>
        <w:tc>
          <w:tcPr>
            <w:tcW w:type="dxa" w:w="1728"/>
          </w:tcPr>
          <w:p>
            <w:r>
              <w:rPr>
                <w:rFonts w:ascii="Calibri" w:hAnsi="Calibri"/>
                <w:sz w:val="22"/>
              </w:rPr>
              <w:t>45Z Tax Credit (FY 2026)</w:t>
            </w:r>
          </w:p>
        </w:tc>
        <w:tc>
          <w:tcPr>
            <w:tcW w:type="dxa" w:w="1728"/>
          </w:tcPr>
          <w:p>
            <w:r>
              <w:rPr>
                <w:rFonts w:ascii="Calibri" w:hAnsi="Calibri"/>
                <w:sz w:val="22"/>
              </w:rPr>
              <w:t>~$150M full-year benefit</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 Raised from prior $100M estimate at Q1 2026 earnings; included in segment income</w:t>
            </w:r>
          </w:p>
        </w:tc>
      </w:tr>
      <w:tr>
        <w:tc>
          <w:tcPr>
            <w:tcW w:type="dxa" w:w="1728"/>
          </w:tcPr>
          <w:p>
            <w:r>
              <w:rPr>
                <w:rFonts w:ascii="Calibri" w:hAnsi="Calibri"/>
                <w:sz w:val="22"/>
              </w:rPr>
              <w:t>Q2 2026 Earnings Cadence</w:t>
            </w:r>
          </w:p>
        </w:tc>
        <w:tc>
          <w:tcPr>
            <w:tcW w:type="dxa" w:w="1728"/>
          </w:tcPr>
          <w:p>
            <w:r>
              <w:rPr>
                <w:rFonts w:ascii="Calibri" w:hAnsi="Calibri"/>
                <w:sz w:val="22"/>
              </w:rPr>
              <w:t>Q2 to be stronger than Q1; majority of $275M Q1 MTM reversal in Q2; ~49%/51% H1/H2 split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 Q2 directional guidance provided on Q1 call; no Q2-specific EPS range given</w:t>
            </w:r>
          </w:p>
        </w:tc>
      </w:tr>
      <w:tr>
        <w:tc>
          <w:tcPr>
            <w:tcW w:type="dxa" w:w="1728"/>
          </w:tcPr>
          <w:p>
            <w:r>
              <w:rPr>
                <w:rFonts w:ascii="Calibri" w:hAnsi="Calibri"/>
                <w:sz w:val="22"/>
              </w:rPr>
              <w:t>Crushing &amp; Ethanol Outlook</w:t>
            </w:r>
          </w:p>
        </w:tc>
        <w:tc>
          <w:tcPr>
            <w:tcW w:type="dxa" w:w="1728"/>
          </w:tcPr>
          <w:p>
            <w:r>
              <w:rPr>
                <w:rFonts w:ascii="Calibri" w:hAnsi="Calibri"/>
                <w:sz w:val="22"/>
              </w:rPr>
              <w:t>Constructive biofuel environment to continue; ethanol strength to more than offset S&amp;S softness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confident; RVO finalization cited as primary driver; inverted crush curve acknowledged as risk</w:t>
            </w:r>
          </w:p>
        </w:tc>
      </w:tr>
      <w:tr>
        <w:tc>
          <w:tcPr>
            <w:tcW w:type="dxa" w:w="1728"/>
          </w:tcPr>
          <w:p>
            <w:r>
              <w:rPr>
                <w:rFonts w:ascii="Calibri" w:hAnsi="Calibri"/>
                <w:sz w:val="22"/>
              </w:rPr>
              <w:t>Nutrition Outlook</w:t>
            </w:r>
          </w:p>
        </w:tc>
        <w:tc>
          <w:tcPr>
            <w:tcW w:type="dxa" w:w="1728"/>
          </w:tcPr>
          <w:p>
            <w:r>
              <w:rPr>
                <w:rFonts w:ascii="Calibri" w:hAnsi="Calibri"/>
                <w:sz w:val="22"/>
              </w:rPr>
              <w:t>YoY growth intact; higher Flavors sales, Decatur East recovery, Animal Nutrition margin expansion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constructive; Decatur East fully operational but customer recovery acknowledged as incomplete</w:t>
            </w:r>
          </w:p>
        </w:tc>
      </w:tr>
      <w:tr>
        <w:tc>
          <w:tcPr>
            <w:tcW w:type="dxa" w:w="1728"/>
          </w:tcPr>
          <w:p>
            <w:r>
              <w:rPr>
                <w:rFonts w:ascii="Calibri" w:hAnsi="Calibri"/>
                <w:sz w:val="22"/>
              </w:rPr>
              <w:t>Net Leverage Ratio (Year-End)</w:t>
            </w:r>
          </w:p>
        </w:tc>
        <w:tc>
          <w:tcPr>
            <w:tcW w:type="dxa" w:w="1728"/>
          </w:tcPr>
          <w:p>
            <w:r>
              <w:rPr>
                <w:rFonts w:ascii="Calibri" w:hAnsi="Calibri"/>
                <w:sz w:val="22"/>
              </w:rPr>
              <w:t>~2.0x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2026 net leverage was 2.2x; management expects to reach ~2.0x by year-end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up in lockstep with the guidance raise — Q2 2026 EPS consensus rose ~3.5% and FY2026 EPS rose ~4.6% since the Q1 print baseline — suggesting the street has largely absorbed the guidance raise; </w:t>
      </w:r>
      <w:r>
        <w:rPr>
          <w:rFonts w:ascii="Calibri" w:hAnsi="Calibri"/>
          <w:b/>
          <w:color w:val="525866"/>
          <w:sz w:val="22"/>
        </w:rPr>
        <w:t>the gap between current consensus ($4.78) and the guidance midpoint ($4.43) implies the market is pricing toward the high end of the range</w:t>
      </w:r>
      <w:r>
        <w:rPr>
          <w:rFonts w:ascii="Calibri" w:hAnsi="Calibri"/>
          <w:color w:val="525866"/>
          <w:sz w:val="22"/>
        </w:rPr>
        <w:t>, which is a modest risk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$1.39</w:t>
            </w:r>
          </w:p>
        </w:tc>
        <w:tc>
          <w:tcPr>
            <w:tcW w:type="dxa" w:w="1080"/>
          </w:tcPr>
          <w:p>
            <w:r>
              <w:rPr>
                <w:rFonts w:ascii="Calibri" w:hAnsi="Calibri"/>
                <w:sz w:val="22"/>
              </w:rPr>
              <w:t>$1.44</w:t>
            </w:r>
          </w:p>
        </w:tc>
        <w:tc>
          <w:tcPr>
            <w:tcW w:type="dxa" w:w="1080"/>
          </w:tcPr>
          <w:p>
            <w:r>
              <w:rPr>
                <w:rFonts w:ascii="Calibri" w:hAnsi="Calibri"/>
                <w:b/>
                <w:color w:val="30A46C"/>
                <w:sz w:val="22"/>
              </w:rPr>
              <w:t>+3.5%</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$4.57</w:t>
            </w:r>
          </w:p>
        </w:tc>
        <w:tc>
          <w:tcPr>
            <w:tcW w:type="dxa" w:w="1080"/>
          </w:tcPr>
          <w:p>
            <w:r>
              <w:rPr>
                <w:rFonts w:ascii="Calibri" w:hAnsi="Calibri"/>
                <w:sz w:val="22"/>
              </w:rPr>
              <w:t>$4.78</w:t>
            </w:r>
          </w:p>
        </w:tc>
        <w:tc>
          <w:tcPr>
            <w:tcW w:type="dxa" w:w="1080"/>
          </w:tcPr>
          <w:p>
            <w:r>
              <w:rPr>
                <w:rFonts w:ascii="Calibri" w:hAnsi="Calibri"/>
                <w:b/>
                <w:color w:val="30A46C"/>
                <w:sz w:val="22"/>
              </w:rPr>
              <w:t>+4.6%</w:t>
            </w:r>
          </w:p>
        </w:tc>
        <w:tc>
          <w:tcPr>
            <w:tcW w:type="dxa" w:w="1080"/>
          </w:tcPr>
          <w:p>
            <w:r>
              <w:rPr>
                <w:rFonts w:ascii="Calibri" w:hAnsi="Calibri"/>
                <w:sz w:val="22"/>
              </w:rPr>
              <w:t>$4.15–$4.70 (mid: $4.43)</w:t>
            </w:r>
          </w:p>
        </w:tc>
        <w:tc>
          <w:tcPr>
            <w:tcW w:type="dxa" w:w="1080"/>
          </w:tcPr>
          <w:p>
            <w:r>
              <w:rPr>
                <w:rFonts w:ascii="Calibri" w:hAnsi="Calibri"/>
                <w:sz w:val="22"/>
              </w:rPr>
              <w:t>$4.15–$4.70 (mid: $4.43)</w:t>
            </w:r>
          </w:p>
        </w:tc>
        <w:tc>
          <w:tcPr>
            <w:tcW w:type="dxa" w:w="1080"/>
          </w:tcPr>
          <w:p>
            <w:r>
              <w:rPr>
                <w:rFonts w:ascii="Calibri" w:hAnsi="Calibri"/>
                <w:sz w:val="22"/>
              </w:rPr>
              <w:t>Unchanged</w:t>
            </w:r>
          </w:p>
        </w:tc>
        <w:tc>
          <w:tcPr>
            <w:tcW w:type="dxa" w:w="1080"/>
          </w:tcPr>
          <w:p>
            <w:r>
              <w:rPr>
                <w:rFonts w:ascii="Calibri" w:hAnsi="Calibri"/>
                <w:sz w:val="22"/>
              </w:rPr>
              <w:t>+7.9% above midpoint</w:t>
            </w:r>
          </w:p>
        </w:tc>
      </w:tr>
      <w:tr>
        <w:tc>
          <w:tcPr>
            <w:tcW w:type="dxa" w:w="1080"/>
          </w:tcPr>
          <w:p>
            <w:r>
              <w:rPr>
                <w:rFonts w:ascii="Calibri" w:hAnsi="Calibri"/>
                <w:sz w:val="22"/>
              </w:rPr>
              <w:t>Total Seg. Op. Profit — Q2 2026 ($B)</w:t>
            </w:r>
          </w:p>
        </w:tc>
        <w:tc>
          <w:tcPr>
            <w:tcW w:type="dxa" w:w="1080"/>
          </w:tcPr>
          <w:p>
            <w:r>
              <w:rPr>
                <w:rFonts w:ascii="Calibri" w:hAnsi="Calibri"/>
                <w:sz w:val="22"/>
              </w:rPr>
              <w:t>$1.244B</w:t>
            </w:r>
          </w:p>
        </w:tc>
        <w:tc>
          <w:tcPr>
            <w:tcW w:type="dxa" w:w="1080"/>
          </w:tcPr>
          <w:p>
            <w:r>
              <w:rPr>
                <w:rFonts w:ascii="Calibri" w:hAnsi="Calibri"/>
                <w:sz w:val="22"/>
              </w:rPr>
              <w:t>$1.266B</w:t>
            </w:r>
          </w:p>
        </w:tc>
        <w:tc>
          <w:tcPr>
            <w:tcW w:type="dxa" w:w="1080"/>
          </w:tcPr>
          <w:p>
            <w:r>
              <w:rPr>
                <w:rFonts w:ascii="Calibri" w:hAnsi="Calibri"/>
                <w:b/>
                <w:color w:val="30A46C"/>
                <w:sz w:val="22"/>
              </w:rPr>
              <w:t>+1.8%</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Seg. Op. Profit — FY 2026 ($B)</w:t>
            </w:r>
          </w:p>
        </w:tc>
        <w:tc>
          <w:tcPr>
            <w:tcW w:type="dxa" w:w="1080"/>
          </w:tcPr>
          <w:p>
            <w:r>
              <w:rPr>
                <w:rFonts w:ascii="Calibri" w:hAnsi="Calibri"/>
                <w:sz w:val="22"/>
              </w:rPr>
              <w:t>$4.357B</w:t>
            </w:r>
          </w:p>
        </w:tc>
        <w:tc>
          <w:tcPr>
            <w:tcW w:type="dxa" w:w="1080"/>
          </w:tcPr>
          <w:p>
            <w:r>
              <w:rPr>
                <w:rFonts w:ascii="Calibri" w:hAnsi="Calibri"/>
                <w:sz w:val="22"/>
              </w:rPr>
              <w:t>$4.453B</w:t>
            </w:r>
          </w:p>
        </w:tc>
        <w:tc>
          <w:tcPr>
            <w:tcW w:type="dxa" w:w="1080"/>
          </w:tcPr>
          <w:p>
            <w:r>
              <w:rPr>
                <w:rFonts w:ascii="Calibri" w:hAnsi="Calibri"/>
                <w:b/>
                <w:color w:val="30A46C"/>
                <w:sz w:val="22"/>
              </w:rPr>
              <w:t>+2.2%</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AS&amp;O Op. Profit — Q2 2026 ($M)</w:t>
            </w:r>
          </w:p>
        </w:tc>
        <w:tc>
          <w:tcPr>
            <w:tcW w:type="dxa" w:w="1080"/>
          </w:tcPr>
          <w:p>
            <w:r>
              <w:rPr>
                <w:rFonts w:ascii="Calibri" w:hAnsi="Calibri"/>
                <w:sz w:val="22"/>
              </w:rPr>
              <w:t>$682M</w:t>
            </w:r>
          </w:p>
        </w:tc>
        <w:tc>
          <w:tcPr>
            <w:tcW w:type="dxa" w:w="1080"/>
          </w:tcPr>
          <w:p>
            <w:r>
              <w:rPr>
                <w:rFonts w:ascii="Calibri" w:hAnsi="Calibri"/>
                <w:sz w:val="22"/>
              </w:rPr>
              <w:t>$723M</w:t>
            </w:r>
          </w:p>
        </w:tc>
        <w:tc>
          <w:tcPr>
            <w:tcW w:type="dxa" w:w="1080"/>
          </w:tcPr>
          <w:p>
            <w:r>
              <w:rPr>
                <w:rFonts w:ascii="Calibri" w:hAnsi="Calibri"/>
                <w:b/>
                <w:color w:val="30A46C"/>
                <w:sz w:val="22"/>
              </w:rPr>
              <w:t>+6.0%</w:t>
            </w:r>
          </w:p>
        </w:tc>
        <w:tc>
          <w:tcPr>
            <w:tcW w:type="dxa" w:w="1080"/>
          </w:tcPr>
          <w:p>
            <w:r>
              <w:rPr>
                <w:rFonts w:ascii="Calibri" w:hAnsi="Calibri"/>
                <w:sz w:val="22"/>
              </w:rPr>
              <w:t>Constructive biofuel env.; China normalized buying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Nutrition Op. Profit — Q2 2026 ($M)</w:t>
            </w:r>
          </w:p>
        </w:tc>
        <w:tc>
          <w:tcPr>
            <w:tcW w:type="dxa" w:w="1080"/>
          </w:tcPr>
          <w:p>
            <w:r>
              <w:rPr>
                <w:rFonts w:ascii="Calibri" w:hAnsi="Calibri"/>
                <w:sz w:val="22"/>
              </w:rPr>
              <w:t>$144M</w:t>
            </w:r>
          </w:p>
        </w:tc>
        <w:tc>
          <w:tcPr>
            <w:tcW w:type="dxa" w:w="1080"/>
          </w:tcPr>
          <w:p>
            <w:r>
              <w:rPr>
                <w:rFonts w:ascii="Calibri" w:hAnsi="Calibri"/>
                <w:sz w:val="22"/>
              </w:rPr>
              <w:t>$147M</w:t>
            </w:r>
          </w:p>
        </w:tc>
        <w:tc>
          <w:tcPr>
            <w:tcW w:type="dxa" w:w="1080"/>
          </w:tcPr>
          <w:p>
            <w:r>
              <w:rPr>
                <w:rFonts w:ascii="Calibri" w:hAnsi="Calibri"/>
                <w:b/>
                <w:color w:val="30A46C"/>
                <w:sz w:val="22"/>
              </w:rPr>
              <w:t>+2.1%</w:t>
            </w:r>
          </w:p>
        </w:tc>
        <w:tc>
          <w:tcPr>
            <w:tcW w:type="dxa" w:w="1080"/>
          </w:tcPr>
          <w:p>
            <w:r>
              <w:rPr>
                <w:rFonts w:ascii="Calibri" w:hAnsi="Calibri"/>
                <w:sz w:val="22"/>
              </w:rPr>
              <w:t>YoY growth intact; Flavors + Decatur East recovery</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Baseline date (May 12, 2026) is approximately 5 trading days after the Q1 2026 earnings release (May 5, 2026). All estimate revisions are directionally positive and tracking with the guidance raise, with FY2026 EPS consensus now sitting ~7.9% above the guidance midpoint — a gap that represents execution risk if the back half of the year disappoints.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ADM has underperformed both MOO (VanEck Agribusiness ETF) and the S&amp;P 500 since the Q1 2026 earnings date, despite a constructive guidance raise — suggesting the stock's move has been driven by </w:t>
      </w:r>
      <w:r>
        <w:rPr>
          <w:rFonts w:ascii="Calibri" w:hAnsi="Calibri"/>
          <w:b/>
          <w:color w:val="525866"/>
          <w:sz w:val="22"/>
        </w:rPr>
        <w:t>multiple compression and sector rotation rather than earnings revision momentum</w:t>
      </w:r>
      <w:r>
        <w:rPr>
          <w:rFonts w:ascii="Calibri" w:hAnsi="Calibri"/>
          <w:color w:val="525866"/>
          <w:sz w:val="22"/>
        </w:rPr>
        <w:t>, leaving a potential re-rating catalyst if Q2 delivers a clean beat.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ADM vs. MOO (VanEck Agribusiness ETF) vs. S&amp;P 500 (SPY) — Indexed to 100 at Q1 2026 Earnings Date (May 5, 2026). Source: Yahoo Finance.</w:t>
      </w:r>
    </w:p>
    <w:p>
      <w:r>
        <w:rPr>
          <w:rFonts w:ascii="Calibri" w:hAnsi="Calibri"/>
          <w:b/>
          <w:color w:val="525866"/>
          <w:sz w:val="22"/>
        </w:rPr>
        <w:t xml:space="preserve">Sector ETF: </w:t>
      </w:r>
      <w:r>
        <w:rPr>
          <w:rFonts w:ascii="Calibri" w:hAnsi="Calibri"/>
          <w:color w:val="525866"/>
          <w:sz w:val="22"/>
        </w:rPr>
        <w:t>MOO (VanEck Agribusiness ETF) — appropriate for ADM's sub-sector as a diversified agricultural commodities processor and supply chain manager. ADM opened at $79.19 on May 5, 2026 (earnings day) and closed at $78.06 on August 4, 2026, a decline of approximately -1.4% since the earnings date. Over the same period, MOO declined approximately -4.2% and SPY gained approximately +4.7%, making ADM a relative outperformer vs. the agribusiness sector but a significant underperformer vs. the broader market. The stock reached a peak of ~$87.32 on July 22, 2026 (around the time of the COO appointment announcement), before pulling back into earnings. The July 17–22 rally coincided with the Jeffrey Rowe COO appointment news, suggesting the market viewed the leadership hire positively before giving back gains.</w:t>
      </w:r>
    </w:p>
    <w:p>
      <w:r>
        <w:br w:type="page"/>
      </w:r>
    </w:p>
    <w:p>
      <w:pPr>
        <w:pStyle w:val="Heading2"/>
      </w:pPr>
      <w:r>
        <w:rPr>
          <w:rFonts w:ascii="Calibri" w:hAnsi="Calibri"/>
          <w:b/>
          <w:color w:val="3B4259"/>
          <w:sz w:val="28"/>
        </w:rPr>
        <w:t>6. Peer Commentaries — Q2 2026 Read-Through (Last 60 Days)</w:t>
      </w:r>
    </w:p>
    <w:p>
      <w:r>
        <w:rPr>
          <w:rFonts w:ascii="Calibri" w:hAnsi="Calibri"/>
          <w:b/>
          <w:color w:val="525866"/>
          <w:sz w:val="22"/>
        </w:rPr>
        <w:t xml:space="preserve">Key Takeaway: </w:t>
      </w:r>
      <w:r>
        <w:rPr>
          <w:rFonts w:ascii="Calibri" w:hAnsi="Calibri"/>
          <w:color w:val="525866"/>
          <w:sz w:val="22"/>
        </w:rPr>
        <w:t xml:space="preserve">Peer commentary from Bunge (BG), Corteva (CTVA), and Ingredion (INGR) since ADM's Q1 2026 earnings is broadly constructive for ADM's Q2 setup — </w:t>
      </w:r>
      <w:r>
        <w:rPr>
          <w:rFonts w:ascii="Calibri" w:hAnsi="Calibri"/>
          <w:b/>
          <w:color w:val="525866"/>
          <w:sz w:val="22"/>
        </w:rPr>
        <w:t>global soy crush margins are described as the best in six quarters, biofuel demand is structurally growing, and soybean meal demand remains resilient</w:t>
      </w:r>
      <w:r>
        <w:rPr>
          <w:rFonts w:ascii="Calibri" w:hAnsi="Calibri"/>
          <w:color w:val="525866"/>
          <w:sz w:val="22"/>
        </w:rPr>
        <w:t>; the key read-through risk is that Latin American crush margins have softened meaningfully in recent weeks, which could weigh on ADM's South American operations.</w:t>
      </w:r>
    </w:p>
    <w:p>
      <w:pPr>
        <w:pStyle w:val="Heading3"/>
      </w:pPr>
      <w:r>
        <w:rPr>
          <w:rFonts w:ascii="Calibri" w:hAnsi="Calibri"/>
          <w:b/>
          <w:color w:val="3B4259"/>
          <w:sz w:val="24"/>
        </w:rPr>
        <w:t>Bunge (BG) — Q2 2026 Earnings Call (July 29, 2026)</w:t>
      </w:r>
    </w:p>
    <w:p>
      <w:r>
        <w:rPr>
          <w:rFonts w:ascii="Calibri" w:hAnsi="Calibri"/>
          <w:b/>
          <w:color w:val="525866"/>
          <w:sz w:val="22"/>
        </w:rPr>
        <w:t xml:space="preserve">Crush Margins — Best in Six Quarters: </w:t>
      </w:r>
      <w:r>
        <w:rPr>
          <w:rFonts w:ascii="Calibri" w:hAnsi="Calibri"/>
          <w:color w:val="525866"/>
          <w:sz w:val="22"/>
        </w:rPr>
        <w:t xml:space="preserve">Bunge reported that global soy processing margins were "very strong" in Q2 2026, marking the "best performance in the last six quarters." Elevated U.S. crush margins are supported by strong meal and corn demand, with the RVO cited as the primary policy driver. </w:t>
      </w:r>
    </w:p>
    <w:p>
      <w:r>
        <w:rPr>
          <w:rFonts w:ascii="Calibri" w:hAnsi="Calibri"/>
          <w:b/>
          <w:color w:val="525866"/>
          <w:sz w:val="22"/>
        </w:rPr>
        <w:t xml:space="preserve">Read-through for ADM: </w:t>
      </w:r>
      <w:r>
        <w:rPr>
          <w:rFonts w:ascii="Calibri" w:hAnsi="Calibri"/>
          <w:color w:val="525866"/>
          <w:sz w:val="22"/>
        </w:rPr>
        <w:t>Highly positive for ADM's Crushing segment, which is expected to reverse the Q1 MTM headwind. Bunge's characterization of Q2 as the best crush quarter in 1.5 years directly supports ADM's guidance that Q2 would be stronger than Q1.</w:t>
      </w:r>
    </w:p>
    <w:p>
      <w:r>
        <w:rPr>
          <w:rFonts w:ascii="Calibri" w:hAnsi="Calibri"/>
          <w:b/>
          <w:color w:val="525866"/>
          <w:sz w:val="22"/>
        </w:rPr>
        <w:t xml:space="preserve">Latin American Crush Softening — Watch Item: </w:t>
      </w:r>
      <w:r>
        <w:rPr>
          <w:rFonts w:ascii="Calibri" w:hAnsi="Calibri"/>
          <w:color w:val="525866"/>
          <w:sz w:val="22"/>
        </w:rPr>
        <w:t>Bunge noted that Latin American crush margins "have seen a significant decline over the last month or so," with Brazil margins expected to be "a little lower" in H2 due to strong bean exports and delays in the B16 biodiesel program. For H2 2026, soy margins in the U.S. are "definitely up," Argentina "slightly up," Europe and Asia "unchanged," and Brazil "a little lower."</w:t>
      </w:r>
    </w:p>
    <w:p>
      <w:r>
        <w:rPr>
          <w:rFonts w:ascii="Calibri" w:hAnsi="Calibri"/>
          <w:b/>
          <w:color w:val="525866"/>
          <w:sz w:val="22"/>
        </w:rPr>
        <w:t xml:space="preserve">Read-through for ADM: </w:t>
      </w:r>
      <w:r>
        <w:rPr>
          <w:rFonts w:ascii="Calibri" w:hAnsi="Calibri"/>
          <w:color w:val="525866"/>
          <w:sz w:val="22"/>
        </w:rPr>
        <w:t>Modest negative for ADM's South American origination and crushing operations. However, ADM's U.S.-centric crush footprint means this is a secondary risk rather than a primary one.</w:t>
      </w:r>
    </w:p>
    <w:p>
      <w:r>
        <w:rPr>
          <w:rFonts w:ascii="Calibri" w:hAnsi="Calibri"/>
          <w:b/>
          <w:color w:val="525866"/>
          <w:sz w:val="22"/>
        </w:rPr>
        <w:t xml:space="preserve">Biofuel Policy &amp; RVO: </w:t>
      </w:r>
      <w:r>
        <w:rPr>
          <w:rFonts w:ascii="Calibri" w:hAnsi="Calibri"/>
          <w:color w:val="525866"/>
          <w:sz w:val="22"/>
        </w:rPr>
        <w:t>Bunge confirmed no special insights into dramatic changes or waivers to the RVO, and is watching for rulings on Small Refinery Exemptions (SREs) and the development of Set 3 biofuel policy for 2028–2029. Feedstock demand across the global processing network is "benefiting from the constructive RVO in the U.S. and growing biodiesel blend rates in other countries."</w:t>
      </w:r>
    </w:p>
    <w:p>
      <w:r>
        <w:rPr>
          <w:rFonts w:ascii="Calibri" w:hAnsi="Calibri"/>
          <w:b/>
          <w:color w:val="525866"/>
          <w:sz w:val="22"/>
        </w:rPr>
        <w:t xml:space="preserve">Read-through for ADM: </w:t>
      </w:r>
      <w:r>
        <w:rPr>
          <w:rFonts w:ascii="Calibri" w:hAnsi="Calibri"/>
          <w:color w:val="525866"/>
          <w:sz w:val="22"/>
        </w:rPr>
        <w:t>Positive — RVO stability supports ADM's ethanol and crush margin assumptions embedded in its raised FY2026 guidance. No SRE waiver risk flagged near-term.</w:t>
      </w:r>
    </w:p>
    <w:p>
      <w:r>
        <w:rPr>
          <w:rFonts w:ascii="Calibri" w:hAnsi="Calibri"/>
          <w:b/>
          <w:color w:val="525866"/>
          <w:sz w:val="22"/>
        </w:rPr>
        <w:t xml:space="preserve">Soybean Meal Demand: </w:t>
      </w:r>
      <w:r>
        <w:rPr>
          <w:rFonts w:ascii="Calibri" w:hAnsi="Calibri"/>
          <w:color w:val="525866"/>
          <w:sz w:val="22"/>
        </w:rPr>
        <w:t>Bunge reiterated that soybean meal demand remains resilient globally, driven by population growth, rising middle-class protein consumption, higher inclusion rates, and a U.S. dietary shift toward protein from carbohydrates. High beef prices are driving more pork and poultry consumption, both of which are meal-intensive. Bunge stated: "the meal will find a home. The market will work and people love to feed soybean meal."</w:t>
      </w:r>
    </w:p>
    <w:p>
      <w:r>
        <w:rPr>
          <w:rFonts w:ascii="Calibri" w:hAnsi="Calibri"/>
          <w:b/>
          <w:color w:val="525866"/>
          <w:sz w:val="22"/>
        </w:rPr>
        <w:t xml:space="preserve">Read-through for ADM: </w:t>
      </w:r>
      <w:r>
        <w:rPr>
          <w:rFonts w:ascii="Calibri" w:hAnsi="Calibri"/>
          <w:color w:val="525866"/>
          <w:sz w:val="22"/>
        </w:rPr>
        <w:t>Positive for ADM's AS&amp;O segment, particularly soybean meal export volumes. Supports the constructive crush margin environment.</w:t>
      </w:r>
    </w:p>
    <w:p>
      <w:r>
        <w:rPr>
          <w:rFonts w:ascii="Calibri" w:hAnsi="Calibri"/>
          <w:b/>
          <w:color w:val="525866"/>
          <w:sz w:val="22"/>
        </w:rPr>
        <w:t xml:space="preserve">China &amp; Trade: </w:t>
      </w:r>
      <w:r>
        <w:rPr>
          <w:rFonts w:ascii="Calibri" w:hAnsi="Calibri"/>
          <w:color w:val="525866"/>
          <w:sz w:val="22"/>
        </w:rPr>
        <w:t>Bunge noted China demand has "slowed some," particularly in the pork segment, but China will always seek "multiple origins" for food security. The improving Australia-China relationship could shift Canadian canola trade flows. Bunge is watching whether China might import corn as part of its $17B Board of Trade commitments.</w:t>
      </w:r>
    </w:p>
    <w:p>
      <w:r>
        <w:rPr>
          <w:rFonts w:ascii="Calibri" w:hAnsi="Calibri"/>
          <w:b/>
          <w:color w:val="525866"/>
          <w:sz w:val="22"/>
        </w:rPr>
        <w:t xml:space="preserve">Read-through for ADM: </w:t>
      </w:r>
      <w:r>
        <w:rPr>
          <w:rFonts w:ascii="Calibri" w:hAnsi="Calibri"/>
          <w:color w:val="525866"/>
          <w:sz w:val="22"/>
        </w:rPr>
        <w:t>Neutral to slightly cautious. ADM's Q1 call assumed China would "resume a normalized buying pattern for North American soybean" — Bunge's commentary suggests this normalization may be gradual rather than sharp.</w:t>
      </w:r>
    </w:p>
    <w:p>
      <w:pPr>
        <w:pStyle w:val="Heading3"/>
      </w:pPr>
      <w:r>
        <w:rPr>
          <w:rFonts w:ascii="Calibri" w:hAnsi="Calibri"/>
          <w:b/>
          <w:color w:val="3B4259"/>
          <w:sz w:val="24"/>
        </w:rPr>
        <w:t>Bunge (BG) — BMO Capital Markets Global Farm to Market Conference (May 13, 2026)</w:t>
      </w:r>
    </w:p>
    <w:p>
      <w:r>
        <w:rPr>
          <w:rFonts w:ascii="Calibri" w:hAnsi="Calibri"/>
          <w:b/>
          <w:color w:val="525866"/>
          <w:sz w:val="22"/>
        </w:rPr>
        <w:t xml:space="preserve">Crush Margins Above Mid-Cycle: </w:t>
      </w:r>
      <w:r>
        <w:rPr>
          <w:rFonts w:ascii="Calibri" w:hAnsi="Calibri"/>
          <w:color w:val="525866"/>
          <w:sz w:val="22"/>
        </w:rPr>
        <w:t>Bunge's CEO Greg Heckman stated that average soy crush margins across their footprint are "better than last year" and "heavily inverted," with the RVO as the primary driver. Bunge raised its full-year 2026 EPS forecast by "$1.50 on the year after we closed Q1," citing the improved crush environment. Mid-cycle baseline was defined as "$46 soy crush margin and a $76 softseed margin."</w:t>
      </w:r>
    </w:p>
    <w:p>
      <w:r>
        <w:rPr>
          <w:rFonts w:ascii="Calibri" w:hAnsi="Calibri"/>
          <w:b/>
          <w:color w:val="525866"/>
          <w:sz w:val="22"/>
        </w:rPr>
        <w:t xml:space="preserve">Read-through for ADM: </w:t>
      </w:r>
      <w:r>
        <w:rPr>
          <w:rFonts w:ascii="Calibri" w:hAnsi="Calibri"/>
          <w:color w:val="525866"/>
          <w:sz w:val="22"/>
        </w:rPr>
        <w:t>Positive — Bunge's $1.50/share guidance raise post-Q1 is directionally consistent with ADM's own guidance raise, validating the sector-wide improvement in crush economics driven by RVO finalization.</w:t>
      </w:r>
    </w:p>
    <w:p>
      <w:r>
        <w:rPr>
          <w:rFonts w:ascii="Calibri" w:hAnsi="Calibri"/>
          <w:b/>
          <w:color w:val="525866"/>
          <w:sz w:val="22"/>
        </w:rPr>
        <w:t xml:space="preserve">Global Biofuel Demand Structurally Growing: </w:t>
      </w:r>
      <w:r>
        <w:rPr>
          <w:rFonts w:ascii="Calibri" w:hAnsi="Calibri"/>
          <w:color w:val="525866"/>
          <w:sz w:val="22"/>
        </w:rPr>
        <w:t>Bunge highlighted that global biofuel demand is "up and to the right" across multiple geographies: Brazil at B15 discussing B16 with a long-term B20 goal, Malaysia targeting B10 palm blending, Indonesia on a path to B50, and Europe's RED III driving more rapeseed oil demand. Bunge is partnering with Repsol and Chevron in biofuels initiatives.</w:t>
      </w:r>
    </w:p>
    <w:p>
      <w:r>
        <w:rPr>
          <w:rFonts w:ascii="Calibri" w:hAnsi="Calibri"/>
          <w:b/>
          <w:color w:val="525866"/>
          <w:sz w:val="22"/>
        </w:rPr>
        <w:t xml:space="preserve">Read-through for ADM: </w:t>
      </w:r>
      <w:r>
        <w:rPr>
          <w:rFonts w:ascii="Calibri" w:hAnsi="Calibri"/>
          <w:color w:val="525866"/>
          <w:sz w:val="22"/>
        </w:rPr>
        <w:t>Positive for ADM's long-term decarbonization and ethanol platforms. Supports the structural demand thesis underpinning ADM's raised 45Z tax credit benefit estimate.</w:t>
      </w:r>
    </w:p>
    <w:p>
      <w:r>
        <w:rPr>
          <w:rFonts w:ascii="Calibri" w:hAnsi="Calibri"/>
          <w:b/>
          <w:color w:val="525866"/>
          <w:sz w:val="22"/>
        </w:rPr>
        <w:t xml:space="preserve">Crop Supply &amp; El Niño Risk: </w:t>
      </w:r>
      <w:r>
        <w:rPr>
          <w:rFonts w:ascii="Calibri" w:hAnsi="Calibri"/>
          <w:color w:val="525866"/>
          <w:sz w:val="22"/>
        </w:rPr>
        <w:t>Bunge flagged that 2026 has a "higher percent of El Niño," which could lead to weather events impacting yields, especially if farmers reduced nutrient application. Brazilian farmers are "in pretty good shape" but "not as covered as the U.S. was" on fertilizer. Corn and wheat "continue to be well supplied globally."</w:t>
      </w:r>
    </w:p>
    <w:p>
      <w:r>
        <w:rPr>
          <w:rFonts w:ascii="Calibri" w:hAnsi="Calibri"/>
          <w:b/>
          <w:color w:val="525866"/>
          <w:sz w:val="22"/>
        </w:rPr>
        <w:t xml:space="preserve">Read-through for ADM: </w:t>
      </w:r>
      <w:r>
        <w:rPr>
          <w:rFonts w:ascii="Calibri" w:hAnsi="Calibri"/>
          <w:color w:val="525866"/>
          <w:sz w:val="22"/>
        </w:rPr>
        <w:t>Neutral to slightly positive — well-supplied corn is supportive of ADM's ethanol economics; El Niño risk is a longer-dated concern for H2 2026 and 2027 crop supply.</w:t>
      </w:r>
    </w:p>
    <w:p>
      <w:pPr>
        <w:pStyle w:val="Heading3"/>
      </w:pPr>
      <w:r>
        <w:rPr>
          <w:rFonts w:ascii="Calibri" w:hAnsi="Calibri"/>
          <w:b/>
          <w:color w:val="3B4259"/>
          <w:sz w:val="24"/>
        </w:rPr>
        <w:t>Corteva (CTVA) — Q2 2026 Earnings Call (July 31, 2026)</w:t>
      </w:r>
    </w:p>
    <w:p>
      <w:r>
        <w:rPr>
          <w:rFonts w:ascii="Calibri" w:hAnsi="Calibri"/>
          <w:b/>
          <w:color w:val="525866"/>
          <w:sz w:val="22"/>
        </w:rPr>
        <w:t xml:space="preserve">Agricultural Fundamentals Healthy: </w:t>
      </w:r>
      <w:r>
        <w:rPr>
          <w:rFonts w:ascii="Calibri" w:hAnsi="Calibri"/>
          <w:color w:val="525866"/>
          <w:sz w:val="22"/>
        </w:rPr>
        <w:t>Corteva stated that "global demand for food, feed and biofuels continues to grow" and that "crop prices are up," though farmer margins remain tight. The company raised its full-year 2026 EBITDA guidance to $4.1–$4.3B (9% growth at midpoint) and EPS to $3.60–$3.80 (11% growth).</w:t>
      </w:r>
    </w:p>
    <w:p>
      <w:r>
        <w:rPr>
          <w:rFonts w:ascii="Calibri" w:hAnsi="Calibri"/>
          <w:b/>
          <w:color w:val="525866"/>
          <w:sz w:val="22"/>
        </w:rPr>
        <w:t xml:space="preserve">Read-through for ADM: </w:t>
      </w:r>
      <w:r>
        <w:rPr>
          <w:rFonts w:ascii="Calibri" w:hAnsi="Calibri"/>
          <w:color w:val="525866"/>
          <w:sz w:val="22"/>
        </w:rPr>
        <w:t>Broadly positive — healthy agricultural demand fundamentals support ADM's AS&amp;O and Nutrition segments. Corteva's raised guidance signals confidence in the agricultural sector backdrop for the remainder of 2026.</w:t>
      </w:r>
    </w:p>
    <w:p>
      <w:r>
        <w:rPr>
          <w:rFonts w:ascii="Calibri" w:hAnsi="Calibri"/>
          <w:b/>
          <w:color w:val="525866"/>
          <w:sz w:val="22"/>
        </w:rPr>
        <w:t xml:space="preserve">China Exports Stable: </w:t>
      </w:r>
      <w:r>
        <w:rPr>
          <w:rFonts w:ascii="Calibri" w:hAnsi="Calibri"/>
          <w:color w:val="525866"/>
          <w:sz w:val="22"/>
        </w:rPr>
        <w:t>Corteva noted that "Chinese exports into Brazil are essentially stable — not going down, but certainly not going up," and the same trend holds for Chinese exports into the U.S. The crop protection market is described as "recovering" with no structural changes.</w:t>
      </w:r>
    </w:p>
    <w:p>
      <w:r>
        <w:rPr>
          <w:rFonts w:ascii="Calibri" w:hAnsi="Calibri"/>
          <w:b/>
          <w:color w:val="525866"/>
          <w:sz w:val="22"/>
        </w:rPr>
        <w:t xml:space="preserve">Read-through for ADM: </w:t>
      </w:r>
      <w:r>
        <w:rPr>
          <w:rFonts w:ascii="Calibri" w:hAnsi="Calibri"/>
          <w:color w:val="525866"/>
          <w:sz w:val="22"/>
        </w:rPr>
        <w:t>Neutral — stable Chinese export competition is consistent with ADM's assumption of normalized China buying patterns for North American soybeans.</w:t>
      </w:r>
    </w:p>
    <w:p>
      <w:r>
        <w:rPr>
          <w:rFonts w:ascii="Calibri" w:hAnsi="Calibri"/>
          <w:b/>
          <w:color w:val="525866"/>
          <w:sz w:val="22"/>
        </w:rPr>
        <w:t xml:space="preserve">Tariff Impact Manageable: </w:t>
      </w:r>
      <w:r>
        <w:rPr>
          <w:rFonts w:ascii="Calibri" w:hAnsi="Calibri"/>
          <w:color w:val="525866"/>
          <w:sz w:val="22"/>
        </w:rPr>
        <w:t>Corteva expects second-half EBITDA to be "about flat compared to last year as the net impact of tariffs, synergies and the Middle East conflict are all weighted to the back half of the year."</w:t>
      </w:r>
    </w:p>
    <w:p>
      <w:r>
        <w:rPr>
          <w:rFonts w:ascii="Calibri" w:hAnsi="Calibri"/>
          <w:b/>
          <w:color w:val="525866"/>
          <w:sz w:val="22"/>
        </w:rPr>
        <w:t xml:space="preserve">Read-through for ADM: </w:t>
      </w:r>
      <w:r>
        <w:rPr>
          <w:rFonts w:ascii="Calibri" w:hAnsi="Calibri"/>
          <w:color w:val="525866"/>
          <w:sz w:val="22"/>
        </w:rPr>
        <w:t>Neutral — tariff headwinds are a known risk for ADM's global supply chain, but ADM's commodity-processing model has historically been able to pass through most cost impacts.</w:t>
      </w:r>
    </w:p>
    <w:p>
      <w:pPr>
        <w:pStyle w:val="Heading3"/>
      </w:pPr>
      <w:r>
        <w:rPr>
          <w:rFonts w:ascii="Calibri" w:hAnsi="Calibri"/>
          <w:b/>
          <w:color w:val="3B4259"/>
          <w:sz w:val="24"/>
        </w:rPr>
        <w:t>Ingredion (INGR) — Q1 2026 Earnings Call (May 5, 2026)</w:t>
      </w:r>
    </w:p>
    <w:p>
      <w:r>
        <w:rPr>
          <w:rFonts w:ascii="Calibri" w:hAnsi="Calibri"/>
          <w:b/>
          <w:color w:val="525866"/>
          <w:sz w:val="22"/>
        </w:rPr>
        <w:t xml:space="preserve">Clean Label &amp; Healthful Ingredients Demand Robust: </w:t>
      </w:r>
      <w:r>
        <w:rPr>
          <w:rFonts w:ascii="Calibri" w:hAnsi="Calibri"/>
          <w:color w:val="525866"/>
          <w:sz w:val="22"/>
        </w:rPr>
        <w:t>Ingredion's Texture and Healthful Solutions segment posted its "eighth straight quarter of volume growth, up 2%," driven by clean label, healthy eating, and reformulation trends. Pea protein isolate sales grew "more than 50% in the quarter" and Stevia-based solutions grew 6%. Consumer demand for protein-fortified and lower-sugar offerings is described as "broad-based across both branded and private label."</w:t>
      </w:r>
    </w:p>
    <w:p>
      <w:r>
        <w:rPr>
          <w:rFonts w:ascii="Calibri" w:hAnsi="Calibri"/>
          <w:b/>
          <w:color w:val="525866"/>
          <w:sz w:val="22"/>
        </w:rPr>
        <w:t xml:space="preserve">Read-through for ADM: </w:t>
      </w:r>
      <w:r>
        <w:rPr>
          <w:rFonts w:ascii="Calibri" w:hAnsi="Calibri"/>
          <w:color w:val="525866"/>
          <w:sz w:val="22"/>
        </w:rPr>
        <w:t>Positive for ADM's Human Nutrition segment, particularly Flavors and specialty ingredients. The clean label and protein fortification trends are directly aligned with ADM's advanced nutrition growth platform.</w:t>
      </w:r>
    </w:p>
    <w:p>
      <w:r>
        <w:rPr>
          <w:rFonts w:ascii="Calibri" w:hAnsi="Calibri"/>
          <w:b/>
          <w:color w:val="525866"/>
          <w:sz w:val="22"/>
        </w:rPr>
        <w:t xml:space="preserve">U.S./Canada Food Ingredients Volumes Soft: </w:t>
      </w:r>
      <w:r>
        <w:rPr>
          <w:rFonts w:ascii="Calibri" w:hAnsi="Calibri"/>
          <w:color w:val="525866"/>
          <w:sz w:val="22"/>
        </w:rPr>
        <w:t>Ingredion's Food and Industrial Ingredients U.S./Canada segment saw net sales volumes decline 7% in Q1, driven by operational issues at the Argo facility and "softer demand across certain food and industrial markets." The Mexican economy "continues to demonstrate softness" with a cautious volume outlook for the remainder of the year.</w:t>
      </w:r>
    </w:p>
    <w:p>
      <w:r>
        <w:rPr>
          <w:rFonts w:ascii="Calibri" w:hAnsi="Calibri"/>
          <w:b/>
          <w:color w:val="525866"/>
          <w:sz w:val="22"/>
        </w:rPr>
        <w:t xml:space="preserve">Read-through for ADM: </w:t>
      </w:r>
      <w:r>
        <w:rPr>
          <w:rFonts w:ascii="Calibri" w:hAnsi="Calibri"/>
          <w:color w:val="525866"/>
          <w:sz w:val="22"/>
        </w:rPr>
        <w:t>Mild negative for ADM's Starches and Sweeteners subsegment, which management has already flagged as facing "consumer behavior trends" pressuring volumes and margins. Ingredion's commentary validates ADM's cautious tone on S&amp;S.</w:t>
      </w:r>
    </w:p>
    <w:p>
      <w:r>
        <w:rPr>
          <w:rFonts w:ascii="Calibri" w:hAnsi="Calibri"/>
          <w:b/>
          <w:color w:val="525866"/>
          <w:sz w:val="22"/>
        </w:rPr>
        <w:t xml:space="preserve">Energy Cost Monitoring: </w:t>
      </w:r>
      <w:r>
        <w:rPr>
          <w:rFonts w:ascii="Calibri" w:hAnsi="Calibri"/>
          <w:color w:val="525866"/>
          <w:sz w:val="22"/>
        </w:rPr>
        <w:t>Ingredion flagged higher energy prices as a key watch item, noting the "largest foreseeable impact is related to increased logistics costs" and potential consumer demand softness in H2 if energy costs are passed through to consumers. The company established a "Middle East response team" to monitor inflationary impacts.</w:t>
      </w:r>
    </w:p>
    <w:p>
      <w:r>
        <w:rPr>
          <w:rFonts w:ascii="Calibri" w:hAnsi="Calibri"/>
          <w:b/>
          <w:color w:val="525866"/>
          <w:sz w:val="22"/>
        </w:rPr>
        <w:t xml:space="preserve">Read-through for ADM: </w:t>
      </w:r>
      <w:r>
        <w:rPr>
          <w:rFonts w:ascii="Calibri" w:hAnsi="Calibri"/>
          <w:color w:val="525866"/>
          <w:sz w:val="22"/>
        </w:rPr>
        <w:t>Neutral — ADM's management also cited energy costs as an external factor to monitor. Higher energy costs could modestly pressure ADM's manufacturing cost base, though ethanol margins benefit from higher energy prices via RIN values.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2026 earnings call is the appointment of Jeffrey Rowe as COO (effective August 17, 2026) — a high-profile external hire from Syngenta that signals ADM is investing in operational leadership ahead of a multi-year recovery; the SEC settlement in January 2026 removed a key overhang.</w:t>
      </w:r>
    </w:p>
    <w:p>
      <w:pPr>
        <w:pStyle w:val="ListBullet"/>
        <w:ind w:left="360" w:hanging="360"/>
      </w:pPr>
      <w:r>
        <w:rPr>
          <w:rFonts w:ascii="Calibri" w:hAnsi="Calibri"/>
          <w:b/>
          <w:color w:val="525866"/>
          <w:sz w:val="22"/>
        </w:rPr>
        <w:t>July 23, 2026 — Jeffrey Rowe Appointed EVP &amp; COO (Effective August 17, 2026):</w:t>
      </w:r>
      <w:r>
        <w:rPr>
          <w:rFonts w:ascii="Calibri" w:hAnsi="Calibri"/>
          <w:color w:val="525866"/>
          <w:sz w:val="22"/>
        </w:rPr>
        <w:t xml:space="preserve"> ADM hired Jeffrey Rowe, outgoing CEO of Syngenta Group, as its new Executive Vice President and Chief Operating Officer. Rowe brings deep agricultural industry experience (Syngenta Seeds, Syngenta Crop Protection, DuPont Pioneer). Compensation package includes $1.2M base salary, 175% target annual bonus, $12.5M annual equity target, and $16.7M in make-whole RSUs. </w:t>
      </w:r>
    </w:p>
    <w:p>
      <w:pPr>
        <w:pStyle w:val="ListBullet"/>
        <w:ind w:left="360" w:hanging="360"/>
      </w:pPr>
      <w:r>
        <w:rPr>
          <w:rFonts w:ascii="Calibri" w:hAnsi="Calibri"/>
          <w:b/>
          <w:color w:val="525866"/>
          <w:sz w:val="22"/>
        </w:rPr>
        <w:t>Implication:</w:t>
      </w:r>
      <w:r>
        <w:rPr>
          <w:rFonts w:ascii="Calibri" w:hAnsi="Calibri"/>
          <w:color w:val="525866"/>
          <w:sz w:val="22"/>
        </w:rPr>
        <w:t xml:space="preserve"> Positive signal — hiring a CEO-caliber executive into the COO role suggests ADM is serious about operational transformation. The stock rallied ~$2–$3 on the announcement week (July 17–22). Rowe's start date of August 17 means he will not be on the Q2 earnings call, but his appointment may be discussed.</w:t>
      </w:r>
    </w:p>
    <w:p>
      <w:pPr>
        <w:pStyle w:val="ListBullet"/>
        <w:ind w:left="360" w:hanging="360"/>
      </w:pPr>
      <w:r>
        <w:rPr>
          <w:rFonts w:ascii="Calibri" w:hAnsi="Calibri"/>
          <w:b/>
          <w:color w:val="525866"/>
          <w:sz w:val="22"/>
        </w:rPr>
        <w:t>July 14, 2026 — Q2 2026 Earnings Release Scheduled for August 4, 2026:</w:t>
      </w:r>
      <w:r>
        <w:rPr>
          <w:rFonts w:ascii="Calibri" w:hAnsi="Calibri"/>
          <w:color w:val="525866"/>
          <w:sz w:val="22"/>
        </w:rPr>
        <w:t xml:space="preserve"> ADM confirmed the Q2 2026 earnings release date. No pre-announcement or guidance update was issued alongside this notice, suggesting no material negative developments to disclose ahead of the print.</w:t>
      </w:r>
    </w:p>
    <w:p>
      <w:pPr>
        <w:pStyle w:val="ListBullet"/>
        <w:ind w:left="360" w:hanging="360"/>
      </w:pPr>
      <w:r>
        <w:rPr>
          <w:rFonts w:ascii="Calibri" w:hAnsi="Calibri"/>
          <w:b/>
          <w:color w:val="525866"/>
          <w:sz w:val="22"/>
        </w:rPr>
        <w:t>Implication:</w:t>
      </w:r>
      <w:r>
        <w:rPr>
          <w:rFonts w:ascii="Calibri" w:hAnsi="Calibri"/>
          <w:color w:val="525866"/>
          <w:sz w:val="22"/>
        </w:rPr>
        <w:t xml:space="preserve"> Neutral — absence of a pre-announcement is a mild positive signal.</w:t>
      </w:r>
    </w:p>
    <w:p>
      <w:pPr>
        <w:pStyle w:val="ListBullet"/>
        <w:ind w:left="360" w:hanging="360"/>
      </w:pPr>
      <w:r>
        <w:rPr>
          <w:rFonts w:ascii="Calibri" w:hAnsi="Calibri"/>
          <w:b/>
          <w:color w:val="525866"/>
          <w:sz w:val="22"/>
        </w:rPr>
        <w:t>May 12, 2026 — Shareholders Approve 9 Million Share Boost to Incentive Plan:</w:t>
      </w:r>
      <w:r>
        <w:rPr>
          <w:rFonts w:ascii="Calibri" w:hAnsi="Calibri"/>
          <w:color w:val="525866"/>
          <w:sz w:val="22"/>
        </w:rPr>
        <w:t xml:space="preserve"> ADM shareholders approved an increase of 9 million shares to the company's incentive compensation plan at the annual meeting.</w:t>
      </w:r>
    </w:p>
    <w:p>
      <w:pPr>
        <w:pStyle w:val="ListBullet"/>
        <w:ind w:left="360" w:hanging="360"/>
      </w:pPr>
      <w:r>
        <w:rPr>
          <w:rFonts w:ascii="Calibri" w:hAnsi="Calibri"/>
          <w:b/>
          <w:color w:val="525866"/>
          <w:sz w:val="22"/>
        </w:rPr>
        <w:t>Implication:</w:t>
      </w:r>
      <w:r>
        <w:rPr>
          <w:rFonts w:ascii="Calibri" w:hAnsi="Calibri"/>
          <w:color w:val="525866"/>
          <w:sz w:val="22"/>
        </w:rPr>
        <w:t xml:space="preserve"> Neutral to mildly negative from a dilution perspective; consistent with the company's stated intent to attract and retain talent as part of its strategic transformation.</w:t>
      </w:r>
    </w:p>
    <w:p>
      <w:pPr>
        <w:pStyle w:val="ListBullet"/>
        <w:ind w:left="360" w:hanging="360"/>
      </w:pPr>
      <w:r>
        <w:rPr>
          <w:rFonts w:ascii="Calibri" w:hAnsi="Calibri"/>
          <w:b/>
          <w:color w:val="525866"/>
          <w:sz w:val="22"/>
        </w:rPr>
        <w:t>May 5, 2026 — Q1 2026 Earnings: FY2026 Guidance Raised Materially:</w:t>
      </w:r>
      <w:r>
        <w:rPr>
          <w:rFonts w:ascii="Calibri" w:hAnsi="Calibri"/>
          <w:color w:val="525866"/>
          <w:sz w:val="22"/>
        </w:rPr>
        <w:t xml:space="preserve"> ADM raised FY2026 adjusted EPS guidance to $4.15–$4.70 (from $3.60–$4.25), raised the 45Z tax credit benefit estimate to ~$150M (from ~$100M), and guided Q2 to be stronger than Q1. Crush and ethanol margins cited as primary drivers following EPA RVO finalization on March 27, 2026.</w:t>
      </w:r>
    </w:p>
    <w:p>
      <w:pPr>
        <w:pStyle w:val="ListBullet"/>
        <w:ind w:left="360" w:hanging="360"/>
      </w:pPr>
      <w:r>
        <w:rPr>
          <w:rFonts w:ascii="Calibri" w:hAnsi="Calibri"/>
          <w:b/>
          <w:color w:val="525866"/>
          <w:sz w:val="22"/>
        </w:rPr>
        <w:t>Implication:</w:t>
      </w:r>
      <w:r>
        <w:rPr>
          <w:rFonts w:ascii="Calibri" w:hAnsi="Calibri"/>
          <w:color w:val="525866"/>
          <w:sz w:val="22"/>
        </w:rPr>
        <w:t xml:space="preserve"> Highly positive — the guidance raise was the key catalyst for the stock's post-earnings move and sets the bar for Q2.</w:t>
      </w:r>
    </w:p>
    <w:p>
      <w:pPr>
        <w:pStyle w:val="ListBullet"/>
        <w:ind w:left="360" w:hanging="360"/>
      </w:pPr>
      <w:r>
        <w:rPr>
          <w:rFonts w:ascii="Calibri" w:hAnsi="Calibri"/>
          <w:b/>
          <w:color w:val="525866"/>
          <w:sz w:val="22"/>
        </w:rPr>
        <w:t>March 10, 2026 — Michael McMurray Added to Board of Directors:</w:t>
      </w:r>
      <w:r>
        <w:rPr>
          <w:rFonts w:ascii="Calibri" w:hAnsi="Calibri"/>
          <w:color w:val="525866"/>
          <w:sz w:val="22"/>
        </w:rPr>
        <w:t xml:space="preserve"> ADM added Michael McMurray as an independent director, increasing the board count. McMurray brings financial and industrial expertise.</w:t>
      </w:r>
    </w:p>
    <w:p>
      <w:pPr>
        <w:pStyle w:val="ListBullet"/>
        <w:ind w:left="360" w:hanging="360"/>
      </w:pPr>
      <w:r>
        <w:rPr>
          <w:rFonts w:ascii="Calibri" w:hAnsi="Calibri"/>
          <w:b/>
          <w:color w:val="525866"/>
          <w:sz w:val="22"/>
        </w:rPr>
        <w:t>Implication:</w:t>
      </w:r>
      <w:r>
        <w:rPr>
          <w:rFonts w:ascii="Calibri" w:hAnsi="Calibri"/>
          <w:color w:val="525866"/>
          <w:sz w:val="22"/>
        </w:rPr>
        <w:t xml:space="preserve"> Neutral — board refreshment is part of ADM's ongoing governance improvement following the 2025 accounting investigation.</w:t>
      </w:r>
    </w:p>
    <w:p>
      <w:pPr>
        <w:pStyle w:val="ListBullet"/>
        <w:ind w:left="360" w:hanging="360"/>
      </w:pPr>
      <w:r>
        <w:rPr>
          <w:rFonts w:ascii="Calibri" w:hAnsi="Calibri"/>
          <w:b/>
          <w:color w:val="525866"/>
          <w:sz w:val="22"/>
        </w:rPr>
        <w:t>January 28, 2026 — ADM Settles SEC Probe for $40 Million; DOJ Ends Investigation:</w:t>
      </w:r>
      <w:r>
        <w:rPr>
          <w:rFonts w:ascii="Calibri" w:hAnsi="Calibri"/>
          <w:color w:val="525866"/>
          <w:sz w:val="22"/>
        </w:rPr>
        <w:t xml:space="preserve"> ADM reached a $40M settlement with the SEC related to its accounting investigation and the DOJ closed its investigation without charges. This resolved the primary legal overhang that had weighed on the stock since late 2023.</w:t>
      </w:r>
    </w:p>
    <w:p>
      <w:pPr>
        <w:pStyle w:val="ListBullet"/>
        <w:ind w:left="360" w:hanging="360"/>
      </w:pPr>
      <w:r>
        <w:rPr>
          <w:rFonts w:ascii="Calibri" w:hAnsi="Calibri"/>
          <w:b/>
          <w:color w:val="525866"/>
          <w:sz w:val="22"/>
        </w:rPr>
        <w:t>Implication:</w:t>
      </w:r>
      <w:r>
        <w:rPr>
          <w:rFonts w:ascii="Calibri" w:hAnsi="Calibri"/>
          <w:color w:val="525866"/>
          <w:sz w:val="22"/>
        </w:rPr>
        <w:t xml:space="preserve"> Significant positive — removal of legal uncertainty was a key re-rating catalyst for the stock in early 2026. The settlement amount was manageable relative to ADM's earnings power.</w:t>
      </w:r>
    </w:p>
    <w:p>
      <w:pPr>
        <w:pStyle w:val="ListBullet"/>
        <w:ind w:left="360" w:hanging="360"/>
      </w:pPr>
      <w:r>
        <w:rPr>
          <w:rFonts w:ascii="Calibri" w:hAnsi="Calibri"/>
          <w:b/>
          <w:color w:val="525866"/>
          <w:sz w:val="22"/>
        </w:rPr>
        <w:t>March 27, 2026 — EPA Finalizes 2026–2027 Renewable Volume Obligations (RVOs):</w:t>
      </w:r>
      <w:r>
        <w:rPr>
          <w:rFonts w:ascii="Calibri" w:hAnsi="Calibri"/>
          <w:color w:val="525866"/>
          <w:sz w:val="22"/>
        </w:rPr>
        <w:t xml:space="preserve"> The EPA published final RVOs for 2026 and 2027 under the U.S. Renewable Fuels Standard. This was the single most important macro catalyst for ADM's crush and ethanol businesses, driving RIN values up ~$1 and pulling soybean oil demand materially higher. North American crush rates in March jumped ~10% year-over-year.</w:t>
      </w:r>
    </w:p>
    <w:p>
      <w:pPr>
        <w:pStyle w:val="ListBullet"/>
        <w:ind w:left="360" w:hanging="360"/>
      </w:pPr>
      <w:r>
        <w:rPr>
          <w:rFonts w:ascii="Calibri" w:hAnsi="Calibri"/>
          <w:b/>
          <w:color w:val="525866"/>
          <w:sz w:val="22"/>
        </w:rPr>
        <w:t>Implication:</w:t>
      </w:r>
      <w:r>
        <w:rPr>
          <w:rFonts w:ascii="Calibri" w:hAnsi="Calibri"/>
          <w:color w:val="525866"/>
          <w:sz w:val="22"/>
        </w:rPr>
        <w:t xml:space="preserve"> Highly positive — the RVO finalization is the foundational driver of ADM's guidance raise and the improved crush/ethanol margin environment. Bunge's Q2 2026 earnings confirmed the RVO benefit is sustaining into Q2.</w:t>
      </w:r>
    </w:p>
    <w:p>
      <w:pPr>
        <w:pStyle w:val="ListBullet"/>
        <w:ind w:left="360" w:hanging="360"/>
      </w:pPr>
      <w:r>
        <w:rPr>
          <w:rFonts w:ascii="Calibri" w:hAnsi="Calibri"/>
          <w:b/>
          <w:color w:val="525866"/>
          <w:sz w:val="22"/>
        </w:rPr>
        <w:t>Peer Read-Through — Bunge Q2 2026 (July 29, 2026):</w:t>
      </w:r>
      <w:r>
        <w:rPr>
          <w:rFonts w:ascii="Calibri" w:hAnsi="Calibri"/>
          <w:color w:val="525866"/>
          <w:sz w:val="22"/>
        </w:rPr>
        <w:t xml:space="preserve"> Bunge reported Q2 2026 adjusted EPS of $2.00 (vs. $1.31 prior year), with adjusted segment EBIT of $796M (vs. $373M prior year). Global soy processing margins described as "very strong" and the "best in the last six quarters." Full-year 2026 EPS guidance raised to $9.25–$9.75.</w:t>
      </w:r>
    </w:p>
    <w:p>
      <w:pPr>
        <w:pStyle w:val="ListBullet"/>
        <w:ind w:left="360" w:hanging="360"/>
      </w:pPr>
      <w:r>
        <w:rPr>
          <w:rFonts w:ascii="Calibri" w:hAnsi="Calibri"/>
          <w:b/>
          <w:color w:val="525866"/>
          <w:sz w:val="22"/>
        </w:rPr>
        <w:t>Implication:</w:t>
      </w:r>
      <w:r>
        <w:rPr>
          <w:rFonts w:ascii="Calibri" w:hAnsi="Calibri"/>
          <w:color w:val="525866"/>
          <w:sz w:val="22"/>
        </w:rPr>
        <w:t xml:space="preserve"> Positive read-through for ADM's Crushing and AS&amp;O segments. Bunge's strong Q2 crush performance validates the constructive margin environment ADM guided to.</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were recorded in the post-Q1 2026 window — all Form 4 activity consists of routine director stock unit grants (transaction code “A”), which are non-discretionary compensation awards and carry no informational signal about management's view of the stock.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Security</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Burke, Michael S.</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Stock Units (829 units)</w:t>
            </w:r>
          </w:p>
        </w:tc>
        <w:tc>
          <w:tcPr>
            <w:tcW w:type="dxa" w:w="1440"/>
          </w:tcPr>
          <w:p>
            <w:r>
              <w:rPr>
                <w:rFonts w:ascii="Calibri" w:hAnsi="Calibri"/>
                <w:sz w:val="22"/>
              </w:rPr>
              <w:t>Jul 1, 2026</w:t>
            </w:r>
          </w:p>
        </w:tc>
        <w:tc>
          <w:tcPr>
            <w:tcW w:type="dxa" w:w="1440"/>
          </w:tcPr>
          <w:p>
            <w:r>
              <w:rPr>
                <w:rFonts w:ascii="Calibri" w:hAnsi="Calibri"/>
                <w:sz w:val="22"/>
              </w:rPr>
              <w:t>Routine director compensation grant; non-discretionary</w:t>
            </w:r>
          </w:p>
        </w:tc>
      </w:tr>
      <w:tr>
        <w:tc>
          <w:tcPr>
            <w:tcW w:type="dxa" w:w="1440"/>
          </w:tcPr>
          <w:p>
            <w:r>
              <w:rPr>
                <w:rFonts w:ascii="Calibri" w:hAnsi="Calibri"/>
                <w:sz w:val="22"/>
              </w:rPr>
              <w:t>Colbert, Theodore III</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Stock Units (716 units)</w:t>
            </w:r>
          </w:p>
        </w:tc>
        <w:tc>
          <w:tcPr>
            <w:tcW w:type="dxa" w:w="1440"/>
          </w:tcPr>
          <w:p>
            <w:r>
              <w:rPr>
                <w:rFonts w:ascii="Calibri" w:hAnsi="Calibri"/>
                <w:sz w:val="22"/>
              </w:rPr>
              <w:t>Jul 1, 2026</w:t>
            </w:r>
          </w:p>
        </w:tc>
        <w:tc>
          <w:tcPr>
            <w:tcW w:type="dxa" w:w="1440"/>
          </w:tcPr>
          <w:p>
            <w:r>
              <w:rPr>
                <w:rFonts w:ascii="Calibri" w:hAnsi="Calibri"/>
                <w:sz w:val="22"/>
              </w:rPr>
              <w:t>Routine director compensation grant; non-discretionary</w:t>
            </w:r>
          </w:p>
        </w:tc>
      </w:tr>
      <w:tr>
        <w:tc>
          <w:tcPr>
            <w:tcW w:type="dxa" w:w="1440"/>
          </w:tcPr>
          <w:p>
            <w:r>
              <w:rPr>
                <w:rFonts w:ascii="Calibri" w:hAnsi="Calibri"/>
                <w:sz w:val="22"/>
              </w:rPr>
              <w:t>Collins, James C. Jr.</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Stock Units (766 units)</w:t>
            </w:r>
          </w:p>
        </w:tc>
        <w:tc>
          <w:tcPr>
            <w:tcW w:type="dxa" w:w="1440"/>
          </w:tcPr>
          <w:p>
            <w:r>
              <w:rPr>
                <w:rFonts w:ascii="Calibri" w:hAnsi="Calibri"/>
                <w:sz w:val="22"/>
              </w:rPr>
              <w:t>Jul 1, 2026</w:t>
            </w:r>
          </w:p>
        </w:tc>
        <w:tc>
          <w:tcPr>
            <w:tcW w:type="dxa" w:w="1440"/>
          </w:tcPr>
          <w:p>
            <w:r>
              <w:rPr>
                <w:rFonts w:ascii="Calibri" w:hAnsi="Calibri"/>
                <w:sz w:val="22"/>
              </w:rPr>
              <w:t>Routine director compensation grant; non-discretionary</w:t>
            </w:r>
          </w:p>
        </w:tc>
      </w:tr>
      <w:tr>
        <w:tc>
          <w:tcPr>
            <w:tcW w:type="dxa" w:w="1440"/>
          </w:tcPr>
          <w:p>
            <w:r>
              <w:rPr>
                <w:rFonts w:ascii="Calibri" w:hAnsi="Calibri"/>
                <w:sz w:val="22"/>
              </w:rPr>
              <w:t>Crews, Terrell K.</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Stock Units (878 units)</w:t>
            </w:r>
          </w:p>
        </w:tc>
        <w:tc>
          <w:tcPr>
            <w:tcW w:type="dxa" w:w="1440"/>
          </w:tcPr>
          <w:p>
            <w:r>
              <w:rPr>
                <w:rFonts w:ascii="Calibri" w:hAnsi="Calibri"/>
                <w:sz w:val="22"/>
              </w:rPr>
              <w:t>Jul 1, 2026</w:t>
            </w:r>
          </w:p>
        </w:tc>
        <w:tc>
          <w:tcPr>
            <w:tcW w:type="dxa" w:w="1440"/>
          </w:tcPr>
          <w:p>
            <w:r>
              <w:rPr>
                <w:rFonts w:ascii="Calibri" w:hAnsi="Calibri"/>
                <w:sz w:val="22"/>
              </w:rPr>
              <w:t>Routine director compensation grant; non-discretionary</w:t>
            </w:r>
          </w:p>
        </w:tc>
      </w:tr>
      <w:tr>
        <w:tc>
          <w:tcPr>
            <w:tcW w:type="dxa" w:w="1440"/>
          </w:tcPr>
          <w:p>
            <w:r>
              <w:rPr>
                <w:rFonts w:ascii="Calibri" w:hAnsi="Calibri"/>
                <w:sz w:val="22"/>
              </w:rPr>
              <w:t>de Brabander, Ellen</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Stock Units (716 units)</w:t>
            </w:r>
          </w:p>
        </w:tc>
        <w:tc>
          <w:tcPr>
            <w:tcW w:type="dxa" w:w="1440"/>
          </w:tcPr>
          <w:p>
            <w:r>
              <w:rPr>
                <w:rFonts w:ascii="Calibri" w:hAnsi="Calibri"/>
                <w:sz w:val="22"/>
              </w:rPr>
              <w:t>Jul 1, 2026</w:t>
            </w:r>
          </w:p>
        </w:tc>
        <w:tc>
          <w:tcPr>
            <w:tcW w:type="dxa" w:w="1440"/>
          </w:tcPr>
          <w:p>
            <w:r>
              <w:rPr>
                <w:rFonts w:ascii="Calibri" w:hAnsi="Calibri"/>
                <w:sz w:val="22"/>
              </w:rPr>
              <w:t>Routine director compensation grant; non-discretionary</w:t>
            </w:r>
          </w:p>
        </w:tc>
      </w:tr>
      <w:tr>
        <w:tc>
          <w:tcPr>
            <w:tcW w:type="dxa" w:w="1440"/>
          </w:tcPr>
          <w:p>
            <w:r>
              <w:rPr>
                <w:rFonts w:ascii="Calibri" w:hAnsi="Calibri"/>
                <w:sz w:val="22"/>
              </w:rPr>
              <w:t>Moore, Patrick J.</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Stock Units (642 units, Jun 10; 641 units, Jul 1)</w:t>
            </w:r>
          </w:p>
        </w:tc>
        <w:tc>
          <w:tcPr>
            <w:tcW w:type="dxa" w:w="1440"/>
          </w:tcPr>
          <w:p>
            <w:r>
              <w:rPr>
                <w:rFonts w:ascii="Calibri" w:hAnsi="Calibri"/>
                <w:sz w:val="22"/>
              </w:rPr>
              <w:t>Jun 10 &amp; Jul 1, 2026</w:t>
            </w:r>
          </w:p>
        </w:tc>
        <w:tc>
          <w:tcPr>
            <w:tcW w:type="dxa" w:w="1440"/>
          </w:tcPr>
          <w:p>
            <w:r>
              <w:rPr>
                <w:rFonts w:ascii="Calibri" w:hAnsi="Calibri"/>
                <w:sz w:val="22"/>
              </w:rPr>
              <w:t>Routine director compensation grants; non-discretionary; largest cumulative holding (101,012 units)</w:t>
            </w:r>
          </w:p>
        </w:tc>
      </w:tr>
      <w:tr>
        <w:tc>
          <w:tcPr>
            <w:tcW w:type="dxa" w:w="1440"/>
          </w:tcPr>
          <w:p>
            <w:r>
              <w:rPr>
                <w:rFonts w:ascii="Calibri" w:hAnsi="Calibri"/>
                <w:sz w:val="22"/>
              </w:rPr>
              <w:t>McMurray, Michael C.</w:t>
            </w:r>
          </w:p>
        </w:tc>
        <w:tc>
          <w:tcPr>
            <w:tcW w:type="dxa" w:w="1440"/>
          </w:tcPr>
          <w:p>
            <w:r>
              <w:rPr>
                <w:rFonts w:ascii="Calibri" w:hAnsi="Calibri"/>
                <w:sz w:val="22"/>
              </w:rPr>
              <w:t>Director (new, added Mar 2026)</w:t>
            </w:r>
          </w:p>
        </w:tc>
        <w:tc>
          <w:tcPr>
            <w:tcW w:type="dxa" w:w="1440"/>
          </w:tcPr>
          <w:p>
            <w:r>
              <w:rPr>
                <w:rFonts w:ascii="Calibri" w:hAnsi="Calibri"/>
                <w:sz w:val="22"/>
              </w:rPr>
              <w:t>Grant / Award (Code A)</w:t>
            </w:r>
          </w:p>
        </w:tc>
        <w:tc>
          <w:tcPr>
            <w:tcW w:type="dxa" w:w="1440"/>
          </w:tcPr>
          <w:p>
            <w:r>
              <w:rPr>
                <w:rFonts w:ascii="Calibri" w:hAnsi="Calibri"/>
                <w:sz w:val="22"/>
              </w:rPr>
              <w:t>Stock Units (1 unit, Jun 10; 829 units, Jul 1)</w:t>
            </w:r>
          </w:p>
        </w:tc>
        <w:tc>
          <w:tcPr>
            <w:tcW w:type="dxa" w:w="1440"/>
          </w:tcPr>
          <w:p>
            <w:r>
              <w:rPr>
                <w:rFonts w:ascii="Calibri" w:hAnsi="Calibri"/>
                <w:sz w:val="22"/>
              </w:rPr>
              <w:t>Jun 10 &amp; Jul 1, 2026</w:t>
            </w:r>
          </w:p>
        </w:tc>
        <w:tc>
          <w:tcPr>
            <w:tcW w:type="dxa" w:w="1440"/>
          </w:tcPr>
          <w:p>
            <w:r>
              <w:rPr>
                <w:rFonts w:ascii="Calibri" w:hAnsi="Calibri"/>
                <w:sz w:val="22"/>
              </w:rPr>
              <w:t>Initial and subsequent director grants following March 2026 board appointment; non-discretionary</w:t>
            </w:r>
          </w:p>
        </w:tc>
      </w:tr>
    </w:tbl>
    <w:p>
      <w:r>
        <w:rPr>
          <w:rFonts w:ascii="Calibri" w:hAnsi="Calibri"/>
          <w:color w:val="525866"/>
          <w:sz w:val="22"/>
        </w:rPr>
        <w:t>Source: SEC Form 4 Filings. All transactions shown are Code “A” (Grant/Award) — non-discretionary director compensation. No open-market purchases (Code P) or sales (Code S) were filed by any ADM insider in the May 5 – August 3, 2026 window. The absence of discretionary buying ahead of earnings is notable but not unusual for a company in a quiet period; the absence of selling is a mild positive signal. Jeffrey Rowe's compensation package (COO appointment, July 2026) includes $16.7M in make-whole RSUs and $11.1M in 2026 equity awards, but these are grant awards and not open-market transactions.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