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Archer-Daniels-Midland (ADM)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Archer-Daniels-Midland Company (ADM)</w:t>
            </w:r>
          </w:p>
        </w:tc>
      </w:tr>
      <w:tr>
        <w:tc>
          <w:tcPr>
            <w:tcW w:type="dxa" w:w="4320"/>
          </w:tcPr>
          <w:p>
            <w:r>
              <w:rPr>
                <w:rFonts w:ascii="Calibri" w:hAnsi="Calibri"/>
                <w:b/>
                <w:sz w:val="22"/>
              </w:rPr>
              <w:t>Earnings Date</w:t>
            </w:r>
          </w:p>
        </w:tc>
        <w:tc>
          <w:tcPr>
            <w:tcW w:type="dxa" w:w="4320"/>
          </w:tcPr>
          <w:p>
            <w:r>
              <w:rPr>
                <w:rFonts w:ascii="Calibri" w:hAnsi="Calibri"/>
                <w:sz w:val="22"/>
              </w:rPr>
              <w:t>August 4, 2026 — 8:30 AM ET (2Q26 Earnings Call)</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w:t>
            </w:r>
          </w:p>
        </w:tc>
        <w:tc>
          <w:tcPr>
            <w:tcW w:type="dxa" w:w="4320"/>
          </w:tcPr>
          <w:p>
            <w:r>
              <w:rPr>
                <w:rFonts w:ascii="Calibri" w:hAnsi="Calibri"/>
                <w:sz w:val="22"/>
              </w:rPr>
              <w:t>August 3, 2026</w:t>
            </w:r>
          </w:p>
        </w:tc>
      </w:tr>
      <w:tr>
        <w:tc>
          <w:tcPr>
            <w:tcW w:type="dxa" w:w="4320"/>
          </w:tcPr>
          <w:p>
            <w:r>
              <w:rPr>
                <w:rFonts w:ascii="Calibri" w:hAnsi="Calibri"/>
                <w:b/>
                <w:sz w:val="22"/>
              </w:rPr>
              <w:t>Sector / Industry</w:t>
            </w:r>
          </w:p>
        </w:tc>
        <w:tc>
          <w:tcPr>
            <w:tcW w:type="dxa" w:w="4320"/>
          </w:tcPr>
          <w:p>
            <w:r>
              <w:rPr>
                <w:rFonts w:ascii="Calibri" w:hAnsi="Calibri"/>
                <w:sz w:val="22"/>
              </w:rPr>
              <w:t>Consumer Staples / Agricultural Processing &amp; Ingredients</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Q2 2026 is constructive — consensus is a manageable bar, the majority of Q1’s $275M mark-to-market headwind is expected to reverse in Q2, and the RVO-driven biofuels tailwind is intact. The single biggest swing factor is whether realized crush margins and ethanol EBITDA confirm the policy-driven improvement management guided to.</w:t>
      </w:r>
    </w:p>
    <w:p>
      <w:r>
        <w:rPr>
          <w:rFonts w:ascii="Calibri" w:hAnsi="Calibri"/>
          <w:color w:val="525866"/>
          <w:sz w:val="22"/>
        </w:rPr>
        <w:t xml:space="preserve">ADM heads into its Q2 2026 print with a notably improved fundamental backdrop relative to the prior year, yet the bar is not stretched. Management explicitly guided that Q2 would be stronger than Q1, citing three drivers: (1) reversal of the majority of the ~$275M net negative mark-to-market and timing impact from Q1 (roughly 70% attributable to Crushing), (2) seasonal strength in Nutrition — particularly the Flavors product line — and (3) continued ethanol margin strength supported by the 45Z tax credit and finalized 2026–2027 RVOs. Consensus adjusted EPS for Q2 2026 stands at approximately </w:t>
      </w:r>
      <w:r>
        <w:rPr>
          <w:rFonts w:ascii="Calibri" w:hAnsi="Calibri"/>
          <w:b/>
          <w:color w:val="525866"/>
          <w:sz w:val="22"/>
        </w:rPr>
        <w:t>$1.44</w:t>
      </w:r>
      <w:r>
        <w:rPr>
          <w:rFonts w:ascii="Calibri" w:hAnsi="Calibri"/>
          <w:color w:val="525866"/>
          <w:sz w:val="22"/>
        </w:rPr>
        <w:t xml:space="preserve">, up sharply from $0.71 in Q1 2026 and $0.93 in Q2 2025, reflecting the mark-to-market reversal and biofuels tailwind. Estimate revisions have been </w:t>
      </w:r>
      <w:r>
        <w:rPr>
          <w:rFonts w:ascii="Calibri" w:hAnsi="Calibri"/>
          <w:b/>
          <w:color w:val="525866"/>
          <w:sz w:val="22"/>
        </w:rPr>
        <w:t>moving higher since the Q1 print</w:t>
      </w:r>
      <w:r>
        <w:rPr>
          <w:rFonts w:ascii="Calibri" w:hAnsi="Calibri"/>
          <w:color w:val="525866"/>
          <w:sz w:val="22"/>
        </w:rPr>
        <w:t xml:space="preserve"> — the Q2 EPS consensus has risen from ~$1.39 at the time of the Q1 earnings call to ~$1.44 currently, suggesting the street is gaining confidence in management’s Q2 setup narrative. The stock has rallied ~16% over the past six months and ~44% over the past twelve months, with the move driven primarily by </w:t>
      </w:r>
      <w:r>
        <w:rPr>
          <w:rFonts w:ascii="Calibri" w:hAnsi="Calibri"/>
          <w:b/>
          <w:color w:val="525866"/>
          <w:sz w:val="22"/>
        </w:rPr>
        <w:t>multiple expansion and estimate upgrades</w:t>
      </w:r>
      <w:r>
        <w:rPr>
          <w:rFonts w:ascii="Calibri" w:hAnsi="Calibri"/>
          <w:color w:val="525866"/>
          <w:sz w:val="22"/>
        </w:rPr>
        <w:t xml:space="preserve"> following the RVO finalization in late March 2026 and the Q1 guidance raise. The key wildcard is the magnitude of the mark-to-market reversal and whether realized crush margins in Q2 track the constructive board crush environment — any shortfall there, or a surprise softness in Carbohydrate Solutions (starches &amp; sweeteners remain under pressure), could disappoint a market that has already priced in a meaningful recovery.</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but not low bar — the Q2 adjusted EPS estimate of ~$1.44 is the highest quarterly bar in over two years, entirely dependent on the mark-to-market reversal materializing as guided. </w:t>
      </w:r>
      <w:r>
        <w:rPr>
          <w:rFonts w:ascii="Calibri" w:hAnsi="Calibri"/>
          <w:b/>
          <w:color w:val="525866"/>
          <w:sz w:val="22"/>
        </w:rPr>
        <w:t>Crushing segment operating profit is the bigger swing factor</w:t>
      </w:r>
      <w:r>
        <w:rPr>
          <w:rFonts w:ascii="Calibri" w:hAnsi="Calibri"/>
          <w:color w:val="525866"/>
          <w:sz w:val="22"/>
        </w:rPr>
        <w:t>: consensus expects ~$256M vs. a Q1 actual of -$79M (which included the bulk of the MTM drag), so any shortfall in realized crush margins would be the most visible miss.</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(FY2026 Range)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Adjusted Diluted EPS ($)</w:t>
            </w:r>
          </w:p>
        </w:tc>
        <w:tc>
          <w:tcPr>
            <w:tcW w:type="dxa" w:w="1234"/>
          </w:tcPr>
          <w:p>
            <w:r>
              <w:rPr>
                <w:rFonts w:ascii="Calibri" w:hAnsi="Calibri"/>
                <w:sz w:val="22"/>
              </w:rPr>
              <w:t>$0.71</w:t>
            </w:r>
          </w:p>
        </w:tc>
        <w:tc>
          <w:tcPr>
            <w:tcW w:type="dxa" w:w="1234"/>
          </w:tcPr>
          <w:p>
            <w:r>
              <w:rPr>
                <w:rFonts w:ascii="Calibri" w:hAnsi="Calibri"/>
                <w:sz w:val="22"/>
              </w:rPr>
              <w:t>$0.93</w:t>
            </w:r>
          </w:p>
        </w:tc>
        <w:tc>
          <w:tcPr>
            <w:tcW w:type="dxa" w:w="1234"/>
          </w:tcPr>
          <w:p>
            <w:r>
              <w:rPr>
                <w:rFonts w:ascii="Calibri" w:hAnsi="Calibri"/>
                <w:sz w:val="22"/>
              </w:rPr>
              <w:t>$1.44</w:t>
            </w:r>
          </w:p>
        </w:tc>
        <w:tc>
          <w:tcPr>
            <w:tcW w:type="dxa" w:w="1234"/>
          </w:tcPr>
          <w:p>
            <w:r>
              <w:rPr>
                <w:rFonts w:ascii="Calibri" w:hAnsi="Calibri"/>
                <w:b/>
                <w:color w:val="30A46C"/>
                <w:sz w:val="22"/>
              </w:rPr>
              <w:t>+55%</w:t>
            </w:r>
          </w:p>
        </w:tc>
        <w:tc>
          <w:tcPr>
            <w:tcW w:type="dxa" w:w="1234"/>
          </w:tcPr>
          <w:p>
            <w:r>
              <w:rPr>
                <w:rFonts w:ascii="Calibri" w:hAnsi="Calibri"/>
                <w:sz w:val="22"/>
              </w:rPr>
              <w:t>$4.15–$4.70 (FY)</w:t>
            </w:r>
          </w:p>
        </w:tc>
        <w:tc>
          <w:tcPr>
            <w:tcW w:type="dxa" w:w="1234"/>
          </w:tcPr>
          <w:p>
            <w:r>
              <w:rPr>
                <w:rFonts w:ascii="Calibri" w:hAnsi="Calibri"/>
                <w:sz w:val="22"/>
              </w:rPr>
              <w:t>FY cons. $4.78 vs. midpoint $4.43 (+8%)</w:t>
            </w:r>
          </w:p>
        </w:tc>
      </w:tr>
      <w:tr>
        <w:tc>
          <w:tcPr>
            <w:tcW w:type="dxa" w:w="1234"/>
          </w:tcPr>
          <w:p>
            <w:r>
              <w:rPr>
                <w:rFonts w:ascii="Calibri" w:hAnsi="Calibri"/>
                <w:sz w:val="22"/>
              </w:rPr>
              <w:t>Revenue ($B)</w:t>
            </w:r>
          </w:p>
        </w:tc>
        <w:tc>
          <w:tcPr>
            <w:tcW w:type="dxa" w:w="1234"/>
          </w:tcPr>
          <w:p>
            <w:r>
              <w:rPr>
                <w:rFonts w:ascii="Calibri" w:hAnsi="Calibri"/>
                <w:sz w:val="22"/>
              </w:rPr>
              <w:t>$20.49B</w:t>
            </w:r>
          </w:p>
        </w:tc>
        <w:tc>
          <w:tcPr>
            <w:tcW w:type="dxa" w:w="1234"/>
          </w:tcPr>
          <w:p>
            <w:r>
              <w:rPr>
                <w:rFonts w:ascii="Calibri" w:hAnsi="Calibri"/>
                <w:sz w:val="22"/>
              </w:rPr>
              <w:t>$21.17B</w:t>
            </w:r>
          </w:p>
        </w:tc>
        <w:tc>
          <w:tcPr>
            <w:tcW w:type="dxa" w:w="1234"/>
          </w:tcPr>
          <w:p>
            <w:r>
              <w:rPr>
                <w:rFonts w:ascii="Calibri" w:hAnsi="Calibri"/>
                <w:sz w:val="22"/>
              </w:rPr>
              <w:t>$22.19B</w:t>
            </w:r>
          </w:p>
        </w:tc>
        <w:tc>
          <w:tcPr>
            <w:tcW w:type="dxa" w:w="1234"/>
          </w:tcPr>
          <w:p>
            <w:r>
              <w:rPr>
                <w:rFonts w:ascii="Calibri" w:hAnsi="Calibri"/>
                <w:b/>
                <w:color w:val="30A46C"/>
                <w:sz w:val="22"/>
              </w:rPr>
              <w:t>+5%</w:t>
            </w:r>
          </w:p>
        </w:tc>
        <w:tc>
          <w:tcPr>
            <w:tcW w:type="dxa" w:w="1234"/>
          </w:tcPr>
          <w:p>
            <w:r>
              <w:rPr>
                <w:rFonts w:ascii="Calibri" w:hAnsi="Calibri"/>
                <w:sz w:val="22"/>
              </w:rPr>
              <w:t>N/A — not guided</w:t>
            </w:r>
          </w:p>
        </w:tc>
        <w:tc>
          <w:tcPr>
            <w:tcW w:type="dxa" w:w="1234"/>
          </w:tcPr>
          <w:p>
            <w:r>
              <w:rPr>
                <w:rFonts w:ascii="Calibri" w:hAnsi="Calibri"/>
                <w:sz w:val="22"/>
              </w:rPr>
              <w:t>N/A</w:t>
            </w:r>
          </w:p>
        </w:tc>
      </w:tr>
      <w:tr>
        <w:tc>
          <w:tcPr>
            <w:tcW w:type="dxa" w:w="1234"/>
          </w:tcPr>
          <w:p>
            <w:r>
              <w:rPr>
                <w:rFonts w:ascii="Calibri" w:hAnsi="Calibri"/>
                <w:sz w:val="22"/>
              </w:rPr>
              <w:t>Total Segment Operating Profit ($M)</w:t>
            </w:r>
          </w:p>
        </w:tc>
        <w:tc>
          <w:tcPr>
            <w:tcW w:type="dxa" w:w="1234"/>
          </w:tcPr>
          <w:p>
            <w:r>
              <w:rPr>
                <w:rFonts w:ascii="Calibri" w:hAnsi="Calibri"/>
                <w:sz w:val="22"/>
              </w:rPr>
              <w:t>$817M</w:t>
            </w:r>
          </w:p>
        </w:tc>
        <w:tc>
          <w:tcPr>
            <w:tcW w:type="dxa" w:w="1234"/>
          </w:tcPr>
          <w:p>
            <w:r>
              <w:rPr>
                <w:rFonts w:ascii="Calibri" w:hAnsi="Calibri"/>
                <w:sz w:val="22"/>
              </w:rPr>
              <w:t>$924M</w:t>
            </w:r>
          </w:p>
        </w:tc>
        <w:tc>
          <w:tcPr>
            <w:tcW w:type="dxa" w:w="1234"/>
          </w:tcPr>
          <w:p>
            <w:r>
              <w:rPr>
                <w:rFonts w:ascii="Calibri" w:hAnsi="Calibri"/>
                <w:sz w:val="22"/>
              </w:rPr>
              <w:t>$1,266M</w:t>
            </w:r>
          </w:p>
        </w:tc>
        <w:tc>
          <w:tcPr>
            <w:tcW w:type="dxa" w:w="1234"/>
          </w:tcPr>
          <w:p>
            <w:r>
              <w:rPr>
                <w:rFonts w:ascii="Calibri" w:hAnsi="Calibri"/>
                <w:b/>
                <w:color w:val="30A46C"/>
                <w:sz w:val="22"/>
              </w:rPr>
              <w:t>+37%</w:t>
            </w:r>
          </w:p>
        </w:tc>
        <w:tc>
          <w:tcPr>
            <w:tcW w:type="dxa" w:w="1234"/>
          </w:tcPr>
          <w:p>
            <w:r>
              <w:rPr>
                <w:rFonts w:ascii="Calibri" w:hAnsi="Calibri"/>
                <w:sz w:val="22"/>
              </w:rPr>
              <w:t>N/A — not guided</w:t>
            </w:r>
          </w:p>
        </w:tc>
        <w:tc>
          <w:tcPr>
            <w:tcW w:type="dxa" w:w="1234"/>
          </w:tcPr>
          <w:p>
            <w:r>
              <w:rPr>
                <w:rFonts w:ascii="Calibri" w:hAnsi="Calibri"/>
                <w:sz w:val="22"/>
              </w:rPr>
              <w:t>N/A</w:t>
            </w:r>
          </w:p>
        </w:tc>
      </w:tr>
      <w:tr>
        <w:tc>
          <w:tcPr>
            <w:tcW w:type="dxa" w:w="1234"/>
          </w:tcPr>
          <w:p>
            <w:r>
              <w:rPr>
                <w:rFonts w:ascii="Calibri" w:hAnsi="Calibri"/>
                <w:sz w:val="22"/>
              </w:rPr>
              <w:t>Crushing Segment Op. Profit ($M)</w:t>
            </w:r>
          </w:p>
        </w:tc>
        <w:tc>
          <w:tcPr>
            <w:tcW w:type="dxa" w:w="1234"/>
          </w:tcPr>
          <w:p>
            <w:r>
              <w:rPr>
                <w:rFonts w:ascii="Calibri" w:hAnsi="Calibri"/>
                <w:sz w:val="22"/>
              </w:rPr>
              <w:t>-$79M (incl. ~$193M MTM drag)</w:t>
            </w:r>
          </w:p>
        </w:tc>
        <w:tc>
          <w:tcPr>
            <w:tcW w:type="dxa" w:w="1234"/>
          </w:tcPr>
          <w:p>
            <w:r>
              <w:rPr>
                <w:rFonts w:ascii="Calibri" w:hAnsi="Calibri"/>
                <w:sz w:val="22"/>
              </w:rPr>
              <w:t>$33M</w:t>
            </w:r>
          </w:p>
        </w:tc>
        <w:tc>
          <w:tcPr>
            <w:tcW w:type="dxa" w:w="1234"/>
          </w:tcPr>
          <w:p>
            <w:r>
              <w:rPr>
                <w:rFonts w:ascii="Calibri" w:hAnsi="Calibri"/>
                <w:sz w:val="22"/>
              </w:rPr>
              <w:t>$256M</w:t>
            </w:r>
          </w:p>
        </w:tc>
        <w:tc>
          <w:tcPr>
            <w:tcW w:type="dxa" w:w="1234"/>
          </w:tcPr>
          <w:p>
            <w:r>
              <w:rPr>
                <w:rFonts w:ascii="Calibri" w:hAnsi="Calibri"/>
                <w:b/>
                <w:color w:val="30A46C"/>
                <w:sz w:val="22"/>
              </w:rPr>
              <w:t>N/M</w:t>
            </w:r>
          </w:p>
        </w:tc>
        <w:tc>
          <w:tcPr>
            <w:tcW w:type="dxa" w:w="1234"/>
          </w:tcPr>
          <w:p>
            <w:r>
              <w:rPr>
                <w:rFonts w:ascii="Calibri" w:hAnsi="Calibri"/>
                <w:sz w:val="22"/>
              </w:rPr>
              <w:t>N/A — not guided</w:t>
            </w:r>
          </w:p>
        </w:tc>
        <w:tc>
          <w:tcPr>
            <w:tcW w:type="dxa" w:w="1234"/>
          </w:tcPr>
          <w:p>
            <w:r>
              <w:rPr>
                <w:rFonts w:ascii="Calibri" w:hAnsi="Calibri"/>
                <w:sz w:val="22"/>
              </w:rPr>
              <w:t>N/A</w:t>
            </w:r>
          </w:p>
        </w:tc>
      </w:tr>
      <w:tr>
        <w:tc>
          <w:tcPr>
            <w:tcW w:type="dxa" w:w="1234"/>
          </w:tcPr>
          <w:p>
            <w:r>
              <w:rPr>
                <w:rFonts w:ascii="Calibri" w:hAnsi="Calibri"/>
                <w:sz w:val="22"/>
              </w:rPr>
              <w:t>Carbohydrate Solutions Op. Profit ($M)</w:t>
            </w:r>
          </w:p>
        </w:tc>
        <w:tc>
          <w:tcPr>
            <w:tcW w:type="dxa" w:w="1234"/>
          </w:tcPr>
          <w:p>
            <w:r>
              <w:rPr>
                <w:rFonts w:ascii="Calibri" w:hAnsi="Calibri"/>
                <w:sz w:val="22"/>
              </w:rPr>
              <w:t>$356M</w:t>
            </w:r>
          </w:p>
        </w:tc>
        <w:tc>
          <w:tcPr>
            <w:tcW w:type="dxa" w:w="1234"/>
          </w:tcPr>
          <w:p>
            <w:r>
              <w:rPr>
                <w:rFonts w:ascii="Calibri" w:hAnsi="Calibri"/>
                <w:sz w:val="22"/>
              </w:rPr>
              <w:t>$337M</w:t>
            </w:r>
          </w:p>
        </w:tc>
        <w:tc>
          <w:tcPr>
            <w:tcW w:type="dxa" w:w="1234"/>
          </w:tcPr>
          <w:p>
            <w:r>
              <w:rPr>
                <w:rFonts w:ascii="Calibri" w:hAnsi="Calibri"/>
                <w:sz w:val="22"/>
              </w:rPr>
              <w:t>$354M</w:t>
            </w:r>
          </w:p>
        </w:tc>
        <w:tc>
          <w:tcPr>
            <w:tcW w:type="dxa" w:w="1234"/>
          </w:tcPr>
          <w:p>
            <w:r>
              <w:rPr>
                <w:rFonts w:ascii="Calibri" w:hAnsi="Calibri"/>
                <w:b/>
                <w:color w:val="30A46C"/>
                <w:sz w:val="22"/>
              </w:rPr>
              <w:t>+5%</w:t>
            </w:r>
          </w:p>
        </w:tc>
        <w:tc>
          <w:tcPr>
            <w:tcW w:type="dxa" w:w="1234"/>
          </w:tcPr>
          <w:p>
            <w:r>
              <w:rPr>
                <w:rFonts w:ascii="Calibri" w:hAnsi="Calibri"/>
                <w:sz w:val="22"/>
              </w:rPr>
              <w:t>N/A — not guided</w:t>
            </w:r>
          </w:p>
        </w:tc>
        <w:tc>
          <w:tcPr>
            <w:tcW w:type="dxa" w:w="1234"/>
          </w:tcPr>
          <w:p>
            <w:r>
              <w:rPr>
                <w:rFonts w:ascii="Calibri" w:hAnsi="Calibri"/>
                <w:sz w:val="22"/>
              </w:rPr>
              <w:t>N/A</w:t>
            </w:r>
          </w:p>
        </w:tc>
      </w:tr>
      <w:tr>
        <w:tc>
          <w:tcPr>
            <w:tcW w:type="dxa" w:w="1234"/>
          </w:tcPr>
          <w:p>
            <w:r>
              <w:rPr>
                <w:rFonts w:ascii="Calibri" w:hAnsi="Calibri"/>
                <w:sz w:val="22"/>
              </w:rPr>
              <w:t>Nutrition Segment Op. Profit ($M)</w:t>
            </w:r>
          </w:p>
        </w:tc>
        <w:tc>
          <w:tcPr>
            <w:tcW w:type="dxa" w:w="1234"/>
          </w:tcPr>
          <w:p>
            <w:r>
              <w:rPr>
                <w:rFonts w:ascii="Calibri" w:hAnsi="Calibri"/>
                <w:sz w:val="22"/>
              </w:rPr>
              <w:t>$135M</w:t>
            </w:r>
          </w:p>
        </w:tc>
        <w:tc>
          <w:tcPr>
            <w:tcW w:type="dxa" w:w="1234"/>
          </w:tcPr>
          <w:p>
            <w:r>
              <w:rPr>
                <w:rFonts w:ascii="Calibri" w:hAnsi="Calibri"/>
                <w:sz w:val="22"/>
              </w:rPr>
              <w:t>$114M</w:t>
            </w:r>
          </w:p>
        </w:tc>
        <w:tc>
          <w:tcPr>
            <w:tcW w:type="dxa" w:w="1234"/>
          </w:tcPr>
          <w:p>
            <w:r>
              <w:rPr>
                <w:rFonts w:ascii="Calibri" w:hAnsi="Calibri"/>
                <w:sz w:val="22"/>
              </w:rPr>
              <w:t>$147M</w:t>
            </w:r>
          </w:p>
        </w:tc>
        <w:tc>
          <w:tcPr>
            <w:tcW w:type="dxa" w:w="1234"/>
          </w:tcPr>
          <w:p>
            <w:r>
              <w:rPr>
                <w:rFonts w:ascii="Calibri" w:hAnsi="Calibri"/>
                <w:b/>
                <w:color w:val="30A46C"/>
                <w:sz w:val="22"/>
              </w:rPr>
              <w:t>+29%</w:t>
            </w:r>
          </w:p>
        </w:tc>
        <w:tc>
          <w:tcPr>
            <w:tcW w:type="dxa" w:w="1234"/>
          </w:tcPr>
          <w:p>
            <w:r>
              <w:rPr>
                <w:rFonts w:ascii="Calibri" w:hAnsi="Calibri"/>
                <w:sz w:val="22"/>
              </w:rPr>
              <w:t>N/A — not guided</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August 3, 2026. Q1 2026 actuals reflect reported figures including mark-to-market and timing impacts. Crushing Q1 2026 actual of -$79M includes approximately $193M of net negative MTM drag (70% of the $275M total). FY2026 guidance range of $4.15–$4.70 raised at Q1 2026 earnings (May 5, 2026).</w:t>
      </w:r>
    </w:p>
    <w:p>
      <w:pPr>
        <w:pStyle w:val="Heading2"/>
      </w:pPr>
      <w:r>
        <w:rPr>
          <w:rFonts w:ascii="Calibri" w:hAnsi="Calibri"/>
          <w:b/>
          <w:color w:val="3B4259"/>
          <w:sz w:val="28"/>
        </w:rPr>
        <w:t>Table 2 — Beat/Miss History (Last 8 Quarters, Top 2 KPIs)</w:t>
      </w:r>
    </w:p>
    <w:p>
      <w:pPr>
        <w:pStyle w:val="Heading3"/>
      </w:pPr>
      <w:r>
        <w:rPr>
          <w:rFonts w:ascii="Calibri" w:hAnsi="Calibri"/>
          <w:b/>
          <w:color w:val="3B4259"/>
          <w:sz w:val="24"/>
        </w:rPr>
        <w:t>Adjusted Diluted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$1.03</w:t>
            </w:r>
          </w:p>
        </w:tc>
        <w:tc>
          <w:tcPr>
            <w:tcW w:type="dxa" w:w="1728"/>
          </w:tcPr>
          <w:p>
            <w:r>
              <w:rPr>
                <w:rFonts w:ascii="Calibri" w:hAnsi="Calibri"/>
                <w:sz w:val="22"/>
              </w:rPr>
              <w:t>$1.21</w:t>
            </w:r>
          </w:p>
        </w:tc>
        <w:tc>
          <w:tcPr>
            <w:tcW w:type="dxa" w:w="1728"/>
          </w:tcPr>
          <w:p>
            <w:r>
              <w:rPr>
                <w:rFonts w:ascii="Calibri" w:hAnsi="Calibri"/>
                <w:b/>
                <w:color w:val="E5484D"/>
                <w:sz w:val="22"/>
              </w:rPr>
              <w:t>-14.9%</w:t>
            </w:r>
          </w:p>
        </w:tc>
        <w:tc>
          <w:tcPr>
            <w:tcW w:type="dxa" w:w="1728"/>
          </w:tcPr>
          <w:p>
            <w:r>
              <w:rPr>
                <w:rFonts w:ascii="Calibri" w:hAnsi="Calibri"/>
                <w:sz w:val="22"/>
              </w:rPr>
              <w:t>Miss</w:t>
            </w:r>
          </w:p>
        </w:tc>
      </w:tr>
      <w:tr>
        <w:tc>
          <w:tcPr>
            <w:tcW w:type="dxa" w:w="1728"/>
          </w:tcPr>
          <w:p>
            <w:r>
              <w:rPr>
                <w:rFonts w:ascii="Calibri" w:hAnsi="Calibri"/>
                <w:sz w:val="22"/>
              </w:rPr>
              <w:t>Q3 2024</w:t>
            </w:r>
          </w:p>
        </w:tc>
        <w:tc>
          <w:tcPr>
            <w:tcW w:type="dxa" w:w="1728"/>
          </w:tcPr>
          <w:p>
            <w:r>
              <w:rPr>
                <w:rFonts w:ascii="Calibri" w:hAnsi="Calibri"/>
                <w:sz w:val="22"/>
              </w:rPr>
              <w:t>$1.10</w:t>
            </w:r>
          </w:p>
        </w:tc>
        <w:tc>
          <w:tcPr>
            <w:tcW w:type="dxa" w:w="1728"/>
          </w:tcPr>
          <w:p>
            <w:r>
              <w:rPr>
                <w:rFonts w:ascii="Calibri" w:hAnsi="Calibri"/>
                <w:sz w:val="22"/>
              </w:rPr>
              <w:t>$1.17</w:t>
            </w:r>
          </w:p>
        </w:tc>
        <w:tc>
          <w:tcPr>
            <w:tcW w:type="dxa" w:w="1728"/>
          </w:tcPr>
          <w:p>
            <w:r>
              <w:rPr>
                <w:rFonts w:ascii="Calibri" w:hAnsi="Calibri"/>
                <w:b/>
                <w:color w:val="E5484D"/>
                <w:sz w:val="22"/>
              </w:rPr>
              <w:t>-6.0%</w:t>
            </w:r>
          </w:p>
        </w:tc>
        <w:tc>
          <w:tcPr>
            <w:tcW w:type="dxa" w:w="1728"/>
          </w:tcPr>
          <w:p>
            <w:r>
              <w:rPr>
                <w:rFonts w:ascii="Calibri" w:hAnsi="Calibri"/>
                <w:sz w:val="22"/>
              </w:rPr>
              <w:t>Miss</w:t>
            </w:r>
          </w:p>
        </w:tc>
      </w:tr>
      <w:tr>
        <w:tc>
          <w:tcPr>
            <w:tcW w:type="dxa" w:w="1728"/>
          </w:tcPr>
          <w:p>
            <w:r>
              <w:rPr>
                <w:rFonts w:ascii="Calibri" w:hAnsi="Calibri"/>
                <w:sz w:val="22"/>
              </w:rPr>
              <w:t>Q4 2024</w:t>
            </w:r>
          </w:p>
        </w:tc>
        <w:tc>
          <w:tcPr>
            <w:tcW w:type="dxa" w:w="1728"/>
          </w:tcPr>
          <w:p>
            <w:r>
              <w:rPr>
                <w:rFonts w:ascii="Calibri" w:hAnsi="Calibri"/>
                <w:sz w:val="22"/>
              </w:rPr>
              <w:t>$1.14</w:t>
            </w:r>
          </w:p>
        </w:tc>
        <w:tc>
          <w:tcPr>
            <w:tcW w:type="dxa" w:w="1728"/>
          </w:tcPr>
          <w:p>
            <w:r>
              <w:rPr>
                <w:rFonts w:ascii="Calibri" w:hAnsi="Calibri"/>
                <w:sz w:val="22"/>
              </w:rPr>
              <w:t>$1.15</w:t>
            </w:r>
          </w:p>
        </w:tc>
        <w:tc>
          <w:tcPr>
            <w:tcW w:type="dxa" w:w="1728"/>
          </w:tcPr>
          <w:p>
            <w:r>
              <w:rPr>
                <w:rFonts w:ascii="Calibri" w:hAnsi="Calibri"/>
                <w:b/>
                <w:color w:val="E5484D"/>
                <w:sz w:val="22"/>
              </w:rPr>
              <w:t>-0.9%</w:t>
            </w:r>
          </w:p>
        </w:tc>
        <w:tc>
          <w:tcPr>
            <w:tcW w:type="dxa" w:w="1728"/>
          </w:tcPr>
          <w:p>
            <w:r>
              <w:rPr>
                <w:rFonts w:ascii="Calibri" w:hAnsi="Calibri"/>
                <w:sz w:val="22"/>
              </w:rPr>
              <w:t>Slight Miss</w:t>
            </w:r>
          </w:p>
        </w:tc>
      </w:tr>
      <w:tr>
        <w:tc>
          <w:tcPr>
            <w:tcW w:type="dxa" w:w="1728"/>
          </w:tcPr>
          <w:p>
            <w:r>
              <w:rPr>
                <w:rFonts w:ascii="Calibri" w:hAnsi="Calibri"/>
                <w:sz w:val="22"/>
              </w:rPr>
              <w:t>Q1 2025</w:t>
            </w:r>
          </w:p>
        </w:tc>
        <w:tc>
          <w:tcPr>
            <w:tcW w:type="dxa" w:w="1728"/>
          </w:tcPr>
          <w:p>
            <w:r>
              <w:rPr>
                <w:rFonts w:ascii="Calibri" w:hAnsi="Calibri"/>
                <w:sz w:val="22"/>
              </w:rPr>
              <w:t>$0.70</w:t>
            </w:r>
          </w:p>
        </w:tc>
        <w:tc>
          <w:tcPr>
            <w:tcW w:type="dxa" w:w="1728"/>
          </w:tcPr>
          <w:p>
            <w:r>
              <w:rPr>
                <w:rFonts w:ascii="Calibri" w:hAnsi="Calibri"/>
                <w:sz w:val="22"/>
              </w:rPr>
              <w:t>$0.66</w:t>
            </w:r>
          </w:p>
        </w:tc>
        <w:tc>
          <w:tcPr>
            <w:tcW w:type="dxa" w:w="1728"/>
          </w:tcPr>
          <w:p>
            <w:r>
              <w:rPr>
                <w:rFonts w:ascii="Calibri" w:hAnsi="Calibri"/>
                <w:b/>
                <w:color w:val="30A46C"/>
                <w:sz w:val="22"/>
              </w:rPr>
              <w:t>+6.1%</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$0.93</w:t>
            </w:r>
          </w:p>
        </w:tc>
        <w:tc>
          <w:tcPr>
            <w:tcW w:type="dxa" w:w="1728"/>
          </w:tcPr>
          <w:p>
            <w:r>
              <w:rPr>
                <w:rFonts w:ascii="Calibri" w:hAnsi="Calibri"/>
                <w:sz w:val="22"/>
              </w:rPr>
              <w:t>$0.79</w:t>
            </w:r>
          </w:p>
        </w:tc>
        <w:tc>
          <w:tcPr>
            <w:tcW w:type="dxa" w:w="1728"/>
          </w:tcPr>
          <w:p>
            <w:r>
              <w:rPr>
                <w:rFonts w:ascii="Calibri" w:hAnsi="Calibri"/>
                <w:b/>
                <w:color w:val="30A46C"/>
                <w:sz w:val="22"/>
              </w:rPr>
              <w:t>+17.7%</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$0.92</w:t>
            </w:r>
          </w:p>
        </w:tc>
        <w:tc>
          <w:tcPr>
            <w:tcW w:type="dxa" w:w="1728"/>
          </w:tcPr>
          <w:p>
            <w:r>
              <w:rPr>
                <w:rFonts w:ascii="Calibri" w:hAnsi="Calibri"/>
                <w:sz w:val="22"/>
              </w:rPr>
              <w:t>$0.83</w:t>
            </w:r>
          </w:p>
        </w:tc>
        <w:tc>
          <w:tcPr>
            <w:tcW w:type="dxa" w:w="1728"/>
          </w:tcPr>
          <w:p>
            <w:r>
              <w:rPr>
                <w:rFonts w:ascii="Calibri" w:hAnsi="Calibri"/>
                <w:b/>
                <w:color w:val="30A46C"/>
                <w:sz w:val="22"/>
              </w:rPr>
              <w:t>+10.8%</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$0.87</w:t>
            </w:r>
          </w:p>
        </w:tc>
        <w:tc>
          <w:tcPr>
            <w:tcW w:type="dxa" w:w="1728"/>
          </w:tcPr>
          <w:p>
            <w:r>
              <w:rPr>
                <w:rFonts w:ascii="Calibri" w:hAnsi="Calibri"/>
                <w:sz w:val="22"/>
              </w:rPr>
              <w:t>$0.84</w:t>
            </w:r>
          </w:p>
        </w:tc>
        <w:tc>
          <w:tcPr>
            <w:tcW w:type="dxa" w:w="1728"/>
          </w:tcPr>
          <w:p>
            <w:r>
              <w:rPr>
                <w:rFonts w:ascii="Calibri" w:hAnsi="Calibri"/>
                <w:b/>
                <w:color w:val="30A46C"/>
                <w:sz w:val="22"/>
              </w:rPr>
              <w:t>+3.6%</w:t>
            </w:r>
          </w:p>
        </w:tc>
        <w:tc>
          <w:tcPr>
            <w:tcW w:type="dxa" w:w="1728"/>
          </w:tcPr>
          <w:p>
            <w:r>
              <w:rPr>
                <w:rFonts w:ascii="Calibri" w:hAnsi="Calibri"/>
                <w:sz w:val="22"/>
              </w:rPr>
              <w:t>Beat</w:t>
            </w:r>
          </w:p>
        </w:tc>
      </w:tr>
      <w:tr>
        <w:tc>
          <w:tcPr>
            <w:tcW w:type="dxa" w:w="1728"/>
          </w:tcPr>
          <w:p>
            <w:r>
              <w:rPr>
                <w:rFonts w:ascii="Calibri" w:hAnsi="Calibri"/>
                <w:sz w:val="22"/>
              </w:rPr>
              <w:t>Q1 2026</w:t>
            </w:r>
          </w:p>
        </w:tc>
        <w:tc>
          <w:tcPr>
            <w:tcW w:type="dxa" w:w="1728"/>
          </w:tcPr>
          <w:p>
            <w:r>
              <w:rPr>
                <w:rFonts w:ascii="Calibri" w:hAnsi="Calibri"/>
                <w:sz w:val="22"/>
              </w:rPr>
              <w:t>$0.71</w:t>
            </w:r>
          </w:p>
        </w:tc>
        <w:tc>
          <w:tcPr>
            <w:tcW w:type="dxa" w:w="1728"/>
          </w:tcPr>
          <w:p>
            <w:r>
              <w:rPr>
                <w:rFonts w:ascii="Calibri" w:hAnsi="Calibri"/>
                <w:sz w:val="22"/>
              </w:rPr>
              <w:t>$0.68</w:t>
            </w:r>
          </w:p>
        </w:tc>
        <w:tc>
          <w:tcPr>
            <w:tcW w:type="dxa" w:w="1728"/>
          </w:tcPr>
          <w:p>
            <w:r>
              <w:rPr>
                <w:rFonts w:ascii="Calibri" w:hAnsi="Calibri"/>
                <w:b/>
                <w:color w:val="30A46C"/>
                <w:sz w:val="22"/>
              </w:rPr>
              <w:t>+4.4%</w:t>
            </w:r>
          </w:p>
        </w:tc>
        <w:tc>
          <w:tcPr>
            <w:tcW w:type="dxa" w:w="1728"/>
          </w:tcPr>
          <w:p>
            <w:r>
              <w:rPr>
                <w:rFonts w:ascii="Calibri" w:hAnsi="Calibri"/>
                <w:sz w:val="22"/>
              </w:rPr>
              <w:t>Beat</w:t>
            </w:r>
          </w:p>
        </w:tc>
      </w:tr>
    </w:tbl>
    <w:p>
      <w:pPr>
        <w:pStyle w:val="Heading3"/>
      </w:pPr>
      <w:r>
        <w:rPr>
          <w:rFonts w:ascii="Calibri" w:hAnsi="Calibri"/>
          <w:b/>
          <w:color w:val="3B4259"/>
          <w:sz w:val="24"/>
        </w:rPr>
        <w:t>Total Segment Operating Profit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$1,021M</w:t>
            </w:r>
          </w:p>
        </w:tc>
        <w:tc>
          <w:tcPr>
            <w:tcW w:type="dxa" w:w="1728"/>
          </w:tcPr>
          <w:p>
            <w:r>
              <w:rPr>
                <w:rFonts w:ascii="Calibri" w:hAnsi="Calibri"/>
                <w:sz w:val="22"/>
              </w:rPr>
              <w:t>$1,180M</w:t>
            </w:r>
          </w:p>
        </w:tc>
        <w:tc>
          <w:tcPr>
            <w:tcW w:type="dxa" w:w="1728"/>
          </w:tcPr>
          <w:p>
            <w:r>
              <w:rPr>
                <w:rFonts w:ascii="Calibri" w:hAnsi="Calibri"/>
                <w:b/>
                <w:color w:val="E5484D"/>
                <w:sz w:val="22"/>
              </w:rPr>
              <w:t>-13.5%</w:t>
            </w:r>
          </w:p>
        </w:tc>
        <w:tc>
          <w:tcPr>
            <w:tcW w:type="dxa" w:w="1728"/>
          </w:tcPr>
          <w:p>
            <w:r>
              <w:rPr>
                <w:rFonts w:ascii="Calibri" w:hAnsi="Calibri"/>
                <w:sz w:val="22"/>
              </w:rPr>
              <w:t>Miss</w:t>
            </w:r>
          </w:p>
        </w:tc>
      </w:tr>
      <w:tr>
        <w:tc>
          <w:tcPr>
            <w:tcW w:type="dxa" w:w="1728"/>
          </w:tcPr>
          <w:p>
            <w:r>
              <w:rPr>
                <w:rFonts w:ascii="Calibri" w:hAnsi="Calibri"/>
                <w:sz w:val="22"/>
              </w:rPr>
              <w:t>Q3 2024</w:t>
            </w:r>
          </w:p>
        </w:tc>
        <w:tc>
          <w:tcPr>
            <w:tcW w:type="dxa" w:w="1728"/>
          </w:tcPr>
          <w:p>
            <w:r>
              <w:rPr>
                <w:rFonts w:ascii="Calibri" w:hAnsi="Calibri"/>
                <w:sz w:val="22"/>
              </w:rPr>
              <w:t>$1,020M</w:t>
            </w:r>
          </w:p>
        </w:tc>
        <w:tc>
          <w:tcPr>
            <w:tcW w:type="dxa" w:w="1728"/>
          </w:tcPr>
          <w:p>
            <w:r>
              <w:rPr>
                <w:rFonts w:ascii="Calibri" w:hAnsi="Calibri"/>
                <w:sz w:val="22"/>
              </w:rPr>
              <w:t>$1,079M</w:t>
            </w:r>
          </w:p>
        </w:tc>
        <w:tc>
          <w:tcPr>
            <w:tcW w:type="dxa" w:w="1728"/>
          </w:tcPr>
          <w:p>
            <w:r>
              <w:rPr>
                <w:rFonts w:ascii="Calibri" w:hAnsi="Calibri"/>
                <w:b/>
                <w:color w:val="E5484D"/>
                <w:sz w:val="22"/>
              </w:rPr>
              <w:t>-5.5%</w:t>
            </w:r>
          </w:p>
        </w:tc>
        <w:tc>
          <w:tcPr>
            <w:tcW w:type="dxa" w:w="1728"/>
          </w:tcPr>
          <w:p>
            <w:r>
              <w:rPr>
                <w:rFonts w:ascii="Calibri" w:hAnsi="Calibri"/>
                <w:sz w:val="22"/>
              </w:rPr>
              <w:t>Miss</w:t>
            </w:r>
          </w:p>
        </w:tc>
      </w:tr>
      <w:tr>
        <w:tc>
          <w:tcPr>
            <w:tcW w:type="dxa" w:w="1728"/>
          </w:tcPr>
          <w:p>
            <w:r>
              <w:rPr>
                <w:rFonts w:ascii="Calibri" w:hAnsi="Calibri"/>
                <w:sz w:val="22"/>
              </w:rPr>
              <w:t>Q4 2024</w:t>
            </w:r>
          </w:p>
        </w:tc>
        <w:tc>
          <w:tcPr>
            <w:tcW w:type="dxa" w:w="1728"/>
          </w:tcPr>
          <w:p>
            <w:r>
              <w:rPr>
                <w:rFonts w:ascii="Calibri" w:hAnsi="Calibri"/>
                <w:sz w:val="22"/>
              </w:rPr>
              <w:t>$1,098M</w:t>
            </w:r>
          </w:p>
        </w:tc>
        <w:tc>
          <w:tcPr>
            <w:tcW w:type="dxa" w:w="1728"/>
          </w:tcPr>
          <w:p>
            <w:r>
              <w:rPr>
                <w:rFonts w:ascii="Calibri" w:hAnsi="Calibri"/>
                <w:sz w:val="22"/>
              </w:rPr>
              <w:t>$1,121M</w:t>
            </w:r>
          </w:p>
        </w:tc>
        <w:tc>
          <w:tcPr>
            <w:tcW w:type="dxa" w:w="1728"/>
          </w:tcPr>
          <w:p>
            <w:r>
              <w:rPr>
                <w:rFonts w:ascii="Calibri" w:hAnsi="Calibri"/>
                <w:b/>
                <w:color w:val="E5484D"/>
                <w:sz w:val="22"/>
              </w:rPr>
              <w:t>-2.1%</w:t>
            </w:r>
          </w:p>
        </w:tc>
        <w:tc>
          <w:tcPr>
            <w:tcW w:type="dxa" w:w="1728"/>
          </w:tcPr>
          <w:p>
            <w:r>
              <w:rPr>
                <w:rFonts w:ascii="Calibri" w:hAnsi="Calibri"/>
                <w:sz w:val="22"/>
              </w:rPr>
              <w:t>Slight Miss</w:t>
            </w:r>
          </w:p>
        </w:tc>
      </w:tr>
      <w:tr>
        <w:tc>
          <w:tcPr>
            <w:tcW w:type="dxa" w:w="1728"/>
          </w:tcPr>
          <w:p>
            <w:r>
              <w:rPr>
                <w:rFonts w:ascii="Calibri" w:hAnsi="Calibri"/>
                <w:sz w:val="22"/>
              </w:rPr>
              <w:t>Q1 2025</w:t>
            </w:r>
          </w:p>
        </w:tc>
        <w:tc>
          <w:tcPr>
            <w:tcW w:type="dxa" w:w="1728"/>
          </w:tcPr>
          <w:p>
            <w:r>
              <w:rPr>
                <w:rFonts w:ascii="Calibri" w:hAnsi="Calibri"/>
                <w:sz w:val="22"/>
              </w:rPr>
              <w:t>$843M</w:t>
            </w:r>
          </w:p>
        </w:tc>
        <w:tc>
          <w:tcPr>
            <w:tcW w:type="dxa" w:w="1728"/>
          </w:tcPr>
          <w:p>
            <w:r>
              <w:rPr>
                <w:rFonts w:ascii="Calibri" w:hAnsi="Calibri"/>
                <w:sz w:val="22"/>
              </w:rPr>
              <w:t>$807M</w:t>
            </w:r>
          </w:p>
        </w:tc>
        <w:tc>
          <w:tcPr>
            <w:tcW w:type="dxa" w:w="1728"/>
          </w:tcPr>
          <w:p>
            <w:r>
              <w:rPr>
                <w:rFonts w:ascii="Calibri" w:hAnsi="Calibri"/>
                <w:b/>
                <w:color w:val="30A46C"/>
                <w:sz w:val="22"/>
              </w:rPr>
              <w:t>+4.5%</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$924M</w:t>
            </w:r>
          </w:p>
        </w:tc>
        <w:tc>
          <w:tcPr>
            <w:tcW w:type="dxa" w:w="1728"/>
          </w:tcPr>
          <w:p>
            <w:r>
              <w:rPr>
                <w:rFonts w:ascii="Calibri" w:hAnsi="Calibri"/>
                <w:sz w:val="22"/>
              </w:rPr>
              <w:t>$892M</w:t>
            </w:r>
          </w:p>
        </w:tc>
        <w:tc>
          <w:tcPr>
            <w:tcW w:type="dxa" w:w="1728"/>
          </w:tcPr>
          <w:p>
            <w:r>
              <w:rPr>
                <w:rFonts w:ascii="Calibri" w:hAnsi="Calibri"/>
                <w:b/>
                <w:color w:val="30A46C"/>
                <w:sz w:val="22"/>
              </w:rPr>
              <w:t>+3.6%</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$900M</w:t>
            </w:r>
          </w:p>
        </w:tc>
        <w:tc>
          <w:tcPr>
            <w:tcW w:type="dxa" w:w="1728"/>
          </w:tcPr>
          <w:p>
            <w:r>
              <w:rPr>
                <w:rFonts w:ascii="Calibri" w:hAnsi="Calibri"/>
                <w:sz w:val="22"/>
              </w:rPr>
              <w:t>$913M</w:t>
            </w:r>
          </w:p>
        </w:tc>
        <w:tc>
          <w:tcPr>
            <w:tcW w:type="dxa" w:w="1728"/>
          </w:tcPr>
          <w:p>
            <w:r>
              <w:rPr>
                <w:rFonts w:ascii="Calibri" w:hAnsi="Calibri"/>
                <w:b/>
                <w:color w:val="E5484D"/>
                <w:sz w:val="22"/>
              </w:rPr>
              <w:t>-1.4%</w:t>
            </w:r>
          </w:p>
        </w:tc>
        <w:tc>
          <w:tcPr>
            <w:tcW w:type="dxa" w:w="1728"/>
          </w:tcPr>
          <w:p>
            <w:r>
              <w:rPr>
                <w:rFonts w:ascii="Calibri" w:hAnsi="Calibri"/>
                <w:sz w:val="22"/>
              </w:rPr>
              <w:t>Slight Miss</w:t>
            </w:r>
          </w:p>
        </w:tc>
      </w:tr>
      <w:tr>
        <w:tc>
          <w:tcPr>
            <w:tcW w:type="dxa" w:w="1728"/>
          </w:tcPr>
          <w:p>
            <w:r>
              <w:rPr>
                <w:rFonts w:ascii="Calibri" w:hAnsi="Calibri"/>
                <w:sz w:val="22"/>
              </w:rPr>
              <w:t>Q4 2025</w:t>
            </w:r>
          </w:p>
        </w:tc>
        <w:tc>
          <w:tcPr>
            <w:tcW w:type="dxa" w:w="1728"/>
          </w:tcPr>
          <w:p>
            <w:r>
              <w:rPr>
                <w:rFonts w:ascii="Calibri" w:hAnsi="Calibri"/>
                <w:sz w:val="22"/>
              </w:rPr>
              <w:t>$874M</w:t>
            </w:r>
          </w:p>
        </w:tc>
        <w:tc>
          <w:tcPr>
            <w:tcW w:type="dxa" w:w="1728"/>
          </w:tcPr>
          <w:p>
            <w:r>
              <w:rPr>
                <w:rFonts w:ascii="Calibri" w:hAnsi="Calibri"/>
                <w:sz w:val="22"/>
              </w:rPr>
              <w:t>$893M</w:t>
            </w:r>
          </w:p>
        </w:tc>
        <w:tc>
          <w:tcPr>
            <w:tcW w:type="dxa" w:w="1728"/>
          </w:tcPr>
          <w:p>
            <w:r>
              <w:rPr>
                <w:rFonts w:ascii="Calibri" w:hAnsi="Calibri"/>
                <w:b/>
                <w:color w:val="E5484D"/>
                <w:sz w:val="22"/>
              </w:rPr>
              <w:t>-2.1%</w:t>
            </w:r>
          </w:p>
        </w:tc>
        <w:tc>
          <w:tcPr>
            <w:tcW w:type="dxa" w:w="1728"/>
          </w:tcPr>
          <w:p>
            <w:r>
              <w:rPr>
                <w:rFonts w:ascii="Calibri" w:hAnsi="Calibri"/>
                <w:sz w:val="22"/>
              </w:rPr>
              <w:t>Slight Miss</w:t>
            </w:r>
          </w:p>
        </w:tc>
      </w:tr>
      <w:tr>
        <w:tc>
          <w:tcPr>
            <w:tcW w:type="dxa" w:w="1728"/>
          </w:tcPr>
          <w:p>
            <w:r>
              <w:rPr>
                <w:rFonts w:ascii="Calibri" w:hAnsi="Calibri"/>
                <w:sz w:val="22"/>
              </w:rPr>
              <w:t>Q1 2026</w:t>
            </w:r>
          </w:p>
        </w:tc>
        <w:tc>
          <w:tcPr>
            <w:tcW w:type="dxa" w:w="1728"/>
          </w:tcPr>
          <w:p>
            <w:r>
              <w:rPr>
                <w:rFonts w:ascii="Calibri" w:hAnsi="Calibri"/>
                <w:sz w:val="22"/>
              </w:rPr>
              <w:t>$817M</w:t>
            </w:r>
          </w:p>
        </w:tc>
        <w:tc>
          <w:tcPr>
            <w:tcW w:type="dxa" w:w="1728"/>
          </w:tcPr>
          <w:p>
            <w:r>
              <w:rPr>
                <w:rFonts w:ascii="Calibri" w:hAnsi="Calibri"/>
                <w:sz w:val="22"/>
              </w:rPr>
              <w:t>$838M</w:t>
            </w:r>
          </w:p>
        </w:tc>
        <w:tc>
          <w:tcPr>
            <w:tcW w:type="dxa" w:w="1728"/>
          </w:tcPr>
          <w:p>
            <w:r>
              <w:rPr>
                <w:rFonts w:ascii="Calibri" w:hAnsi="Calibri"/>
                <w:b/>
                <w:color w:val="E5484D"/>
                <w:sz w:val="22"/>
              </w:rPr>
              <w:t>-2.5%</w:t>
            </w:r>
          </w:p>
        </w:tc>
        <w:tc>
          <w:tcPr>
            <w:tcW w:type="dxa" w:w="1728"/>
          </w:tcPr>
          <w:p>
            <w:r>
              <w:rPr>
                <w:rFonts w:ascii="Calibri" w:hAnsi="Calibri"/>
                <w:sz w:val="22"/>
              </w:rPr>
              <w:t>Slight Miss</w:t>
            </w:r>
          </w:p>
        </w:tc>
      </w:tr>
    </w:tbl>
    <w:p>
      <w:r>
        <w:rPr>
          <w:rFonts w:ascii="Calibri" w:hAnsi="Calibri"/>
          <w:i/>
          <w:color w:val="525866"/>
          <w:sz w:val="22"/>
        </w:rPr>
        <w:t>Source: Visible Alpha Consensus and Actuals Data.</w:t>
      </w:r>
      <w:r>
        <w:rPr>
          <w:rFonts w:ascii="Calibri" w:hAnsi="Calibri"/>
          <w:color w:val="525866"/>
          <w:sz w:val="22"/>
        </w:rPr>
        <w:t xml:space="preserve"> ADM has beaten adjusted EPS consensus in 5 of the last 8 quarters, with the three misses concentrated in the 2024 period of margin compression; the more recent trend (Q1 2025 through Q1 2026) shows a consistent beat pattern on EPS, though segment operating profit has been more mixed, reflecting mark-to-market volatility.</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moved materially higher since the Q4 2025 earnings call — the FY2026 adjusted EPS range was raised from $3.60–$4.25 to </w:t>
      </w:r>
      <w:r>
        <w:rPr>
          <w:rFonts w:ascii="Calibri" w:hAnsi="Calibri"/>
          <w:b/>
          <w:color w:val="525866"/>
          <w:sz w:val="22"/>
        </w:rPr>
        <w:t>$4.15–$4.70 at the Q1 2026 print</w:t>
      </w:r>
      <w:r>
        <w:rPr>
          <w:rFonts w:ascii="Calibri" w:hAnsi="Calibri"/>
          <w:color w:val="525866"/>
          <w:sz w:val="22"/>
        </w:rPr>
        <w:t>, with the new floor exceeding the prior ceiling. Management tone has shifted from cautious/anticipatory (pending RVO clarity) to confident/constructive (policy clarity confirmed, execution on track). No post-Q1 guidance revisions have been issued.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Earnings Call, Feb 3,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Adjusted EPS</w:t>
            </w:r>
          </w:p>
        </w:tc>
        <w:tc>
          <w:tcPr>
            <w:tcW w:type="dxa" w:w="1728"/>
          </w:tcPr>
          <w:p>
            <w:r>
              <w:rPr>
                <w:rFonts w:ascii="Calibri" w:hAnsi="Calibri"/>
                <w:sz w:val="22"/>
              </w:rPr>
              <w:t>$3.60–$4.25</w:t>
            </w:r>
          </w:p>
        </w:tc>
        <w:tc>
          <w:tcPr>
            <w:tcW w:type="dxa" w:w="1728"/>
          </w:tcPr>
          <w:p>
            <w:r>
              <w:rPr>
                <w:rFonts w:ascii="Calibri" w:hAnsi="Calibri"/>
                <w:sz w:val="22"/>
              </w:rPr>
              <w:t>$4.15–$4.70</w:t>
            </w:r>
          </w:p>
        </w:tc>
        <w:tc>
          <w:tcPr>
            <w:tcW w:type="dxa" w:w="1728"/>
          </w:tcPr>
          <w:p>
            <w:r>
              <w:rPr>
                <w:rFonts w:ascii="Calibri" w:hAnsi="Calibri"/>
                <w:sz w:val="22"/>
              </w:rPr>
              <w:t>$4.78</w:t>
            </w:r>
          </w:p>
        </w:tc>
        <w:tc>
          <w:tcPr>
            <w:tcW w:type="dxa" w:w="1728"/>
          </w:tcPr>
          <w:p>
            <w:r>
              <w:rPr>
                <w:rFonts w:ascii="Calibri" w:hAnsi="Calibri"/>
                <w:sz w:val="22"/>
              </w:rPr>
              <w:t>↑ Raised at Q1 2026 earnings (May 5, 2026); driven by RVO finalization and stronger ethanol/crush outlook; new floor exceeds prior ceiling</w:t>
            </w:r>
          </w:p>
        </w:tc>
      </w:tr>
      <w:tr>
        <w:tc>
          <w:tcPr>
            <w:tcW w:type="dxa" w:w="1728"/>
          </w:tcPr>
          <w:p>
            <w:r>
              <w:rPr>
                <w:rFonts w:ascii="Calibri" w:hAnsi="Calibri"/>
                <w:sz w:val="22"/>
              </w:rPr>
              <w:t>45Z Tax Credit Benefit (FY2026)</w:t>
            </w:r>
          </w:p>
        </w:tc>
        <w:tc>
          <w:tcPr>
            <w:tcW w:type="dxa" w:w="1728"/>
          </w:tcPr>
          <w:p>
            <w:r>
              <w:rPr>
                <w:rFonts w:ascii="Calibri" w:hAnsi="Calibri"/>
                <w:sz w:val="22"/>
              </w:rPr>
              <w:t>~$100M (estimated, with caveats)</w:t>
            </w:r>
          </w:p>
        </w:tc>
        <w:tc>
          <w:tcPr>
            <w:tcW w:type="dxa" w:w="1728"/>
          </w:tcPr>
          <w:p>
            <w:r>
              <w:rPr>
                <w:rFonts w:ascii="Calibri" w:hAnsi="Calibri"/>
                <w:sz w:val="22"/>
              </w:rPr>
              <w:t>~$150M</w:t>
            </w:r>
          </w:p>
        </w:tc>
        <w:tc>
          <w:tcPr>
            <w:tcW w:type="dxa" w:w="1728"/>
          </w:tcPr>
          <w:p>
            <w:r>
              <w:rPr>
                <w:rFonts w:ascii="Calibri" w:hAnsi="Calibri"/>
                <w:sz w:val="22"/>
              </w:rPr>
              <w:t>Included in segment income</w:t>
            </w:r>
          </w:p>
        </w:tc>
        <w:tc>
          <w:tcPr>
            <w:tcW w:type="dxa" w:w="1728"/>
          </w:tcPr>
          <w:p>
            <w:r>
              <w:rPr>
                <w:rFonts w:ascii="Calibri" w:hAnsi="Calibri"/>
                <w:sz w:val="22"/>
              </w:rPr>
              <w:t>↑ Raised at Q1 2026 earnings; more certainty on policy; included in segment income guidance</w:t>
            </w:r>
          </w:p>
        </w:tc>
      </w:tr>
      <w:tr>
        <w:tc>
          <w:tcPr>
            <w:tcW w:type="dxa" w:w="1728"/>
          </w:tcPr>
          <w:p>
            <w:r>
              <w:rPr>
                <w:rFonts w:ascii="Calibri" w:hAnsi="Calibri"/>
                <w:sz w:val="22"/>
              </w:rPr>
              <w:t>Cost Savings Program (3–5 yr aggregate)</w:t>
            </w:r>
          </w:p>
        </w:tc>
        <w:tc>
          <w:tcPr>
            <w:tcW w:type="dxa" w:w="1728"/>
          </w:tcPr>
          <w:p>
            <w:r>
              <w:rPr>
                <w:rFonts w:ascii="Calibri" w:hAnsi="Calibri"/>
                <w:sz w:val="22"/>
              </w:rPr>
              <w:t>$500M–$750M (commenced 2025)</w:t>
            </w:r>
          </w:p>
        </w:tc>
        <w:tc>
          <w:tcPr>
            <w:tcW w:type="dxa" w:w="1728"/>
          </w:tcPr>
          <w:p>
            <w:r>
              <w:rPr>
                <w:rFonts w:ascii="Calibri" w:hAnsi="Calibri"/>
                <w:sz w:val="22"/>
              </w:rPr>
              <w:t>Unchanged</w:t>
            </w:r>
          </w:p>
        </w:tc>
        <w:tc>
          <w:tcPr>
            <w:tcW w:type="dxa" w:w="1728"/>
          </w:tcPr>
          <w:p>
            <w:r>
              <w:rPr>
                <w:rFonts w:ascii="Calibri" w:hAnsi="Calibri"/>
                <w:sz w:val="22"/>
              </w:rPr>
              <w:t>On track</w:t>
            </w:r>
          </w:p>
        </w:tc>
        <w:tc>
          <w:tcPr>
            <w:tcW w:type="dxa" w:w="1728"/>
          </w:tcPr>
          <w:p>
            <w:r>
              <w:rPr>
                <w:rFonts w:ascii="Calibri" w:hAnsi="Calibri"/>
                <w:sz w:val="22"/>
              </w:rPr>
              <w:t>No change; management reiterated on-track status at Q1 2026</w:t>
            </w:r>
          </w:p>
        </w:tc>
      </w:tr>
      <w:tr>
        <w:tc>
          <w:tcPr>
            <w:tcW w:type="dxa" w:w="1728"/>
          </w:tcPr>
          <w:p>
            <w:r>
              <w:rPr>
                <w:rFonts w:ascii="Calibri" w:hAnsi="Calibri"/>
                <w:sz w:val="22"/>
              </w:rPr>
              <w:t>Carbohydrate Solutions Outlook</w:t>
            </w:r>
          </w:p>
        </w:tc>
        <w:tc>
          <w:tcPr>
            <w:tcW w:type="dxa" w:w="1728"/>
          </w:tcPr>
          <w:p>
            <w:r>
              <w:rPr>
                <w:rFonts w:ascii="Calibri" w:hAnsi="Calibri"/>
                <w:sz w:val="22"/>
              </w:rPr>
              <w:t>Segment OP relatively flat; ethanol margins tempered by higher industry run rates</w:t>
            </w:r>
          </w:p>
        </w:tc>
        <w:tc>
          <w:tcPr>
            <w:tcW w:type="dxa" w:w="1728"/>
          </w:tcPr>
          <w:p>
            <w:r>
              <w:rPr>
                <w:rFonts w:ascii="Calibri" w:hAnsi="Calibri"/>
                <w:sz w:val="22"/>
              </w:rPr>
              <w:t>Ethanol strength to more than offset S&amp;S softness</w:t>
            </w:r>
          </w:p>
        </w:tc>
        <w:tc>
          <w:tcPr>
            <w:tcW w:type="dxa" w:w="1728"/>
          </w:tcPr>
          <w:p>
            <w:r>
              <w:rPr>
                <w:rFonts w:ascii="Calibri" w:hAnsi="Calibri"/>
                <w:sz w:val="22"/>
              </w:rPr>
              <w:t>$354M Q2 cons.</w:t>
            </w:r>
          </w:p>
        </w:tc>
        <w:tc>
          <w:tcPr>
            <w:tcW w:type="dxa" w:w="1728"/>
          </w:tcPr>
          <w:p>
            <w:r>
              <w:rPr>
                <w:rFonts w:ascii="Calibri" w:hAnsi="Calibri"/>
                <w:sz w:val="22"/>
              </w:rPr>
              <w:t>↑ More constructive; ethanol margins strengthened beyond initial expectations due to policy incentives</w:t>
            </w:r>
          </w:p>
        </w:tc>
      </w:tr>
      <w:tr>
        <w:tc>
          <w:tcPr>
            <w:tcW w:type="dxa" w:w="1728"/>
          </w:tcPr>
          <w:p>
            <w:r>
              <w:rPr>
                <w:rFonts w:ascii="Calibri" w:hAnsi="Calibri"/>
                <w:sz w:val="22"/>
              </w:rPr>
              <w:t>Nutrition Outlook</w:t>
            </w:r>
          </w:p>
        </w:tc>
        <w:tc>
          <w:tcPr>
            <w:tcW w:type="dxa" w:w="1728"/>
          </w:tcPr>
          <w:p>
            <w:r>
              <w:rPr>
                <w:rFonts w:ascii="Calibri" w:hAnsi="Calibri"/>
                <w:sz w:val="22"/>
              </w:rPr>
              <w:t>Continued trajectory of stronger organic growth; Flavors, Decatur East recovery, Animal Nutrition margin expansion</w:t>
            </w:r>
          </w:p>
        </w:tc>
        <w:tc>
          <w:tcPr>
            <w:tcW w:type="dxa" w:w="1728"/>
          </w:tcPr>
          <w:p>
            <w:r>
              <w:rPr>
                <w:rFonts w:ascii="Calibri" w:hAnsi="Calibri"/>
                <w:sz w:val="22"/>
              </w:rPr>
              <w:t>YoY growth intact; Flavors, Decatur East, Animal Nutrition</w:t>
            </w:r>
          </w:p>
        </w:tc>
        <w:tc>
          <w:tcPr>
            <w:tcW w:type="dxa" w:w="1728"/>
          </w:tcPr>
          <w:p>
            <w:r>
              <w:rPr>
                <w:rFonts w:ascii="Calibri" w:hAnsi="Calibri"/>
                <w:sz w:val="22"/>
              </w:rPr>
              <w:t>$147M Q2 cons.</w:t>
            </w:r>
          </w:p>
        </w:tc>
        <w:tc>
          <w:tcPr>
            <w:tcW w:type="dxa" w:w="1728"/>
          </w:tcPr>
          <w:p>
            <w:r>
              <w:rPr>
                <w:rFonts w:ascii="Calibri" w:hAnsi="Calibri"/>
                <w:sz w:val="22"/>
              </w:rPr>
              <w:t>Unchanged in direction; Q1 actual of $135M (+42% YoY) validates trajectory</w:t>
            </w:r>
          </w:p>
        </w:tc>
      </w:tr>
      <w:tr>
        <w:tc>
          <w:tcPr>
            <w:tcW w:type="dxa" w:w="1728"/>
          </w:tcPr>
          <w:p>
            <w:r>
              <w:rPr>
                <w:rFonts w:ascii="Calibri" w:hAnsi="Calibri"/>
                <w:sz w:val="22"/>
              </w:rPr>
              <w:t>H1/H2 Earnings Split</w:t>
            </w:r>
          </w:p>
        </w:tc>
        <w:tc>
          <w:tcPr>
            <w:tcW w:type="dxa" w:w="1728"/>
          </w:tcPr>
          <w:p>
            <w:r>
              <w:rPr>
                <w:rFonts w:ascii="Calibri" w:hAnsi="Calibri"/>
                <w:sz w:val="22"/>
              </w:rPr>
              <w:t>Not explicitly guided</w:t>
            </w:r>
          </w:p>
        </w:tc>
        <w:tc>
          <w:tcPr>
            <w:tcW w:type="dxa" w:w="1728"/>
          </w:tcPr>
          <w:p>
            <w:r>
              <w:rPr>
                <w:rFonts w:ascii="Calibri" w:hAnsi="Calibri"/>
                <w:sz w:val="22"/>
              </w:rPr>
              <w:t>~49% H1 / ~51% H2</w:t>
            </w:r>
          </w:p>
        </w:tc>
        <w:tc>
          <w:tcPr>
            <w:tcW w:type="dxa" w:w="1728"/>
          </w:tcPr>
          <w:p>
            <w:r>
              <w:rPr>
                <w:rFonts w:ascii="Calibri" w:hAnsi="Calibri"/>
                <w:sz w:val="22"/>
              </w:rPr>
              <w:t>Consistent with guidance</w:t>
            </w:r>
          </w:p>
        </w:tc>
        <w:tc>
          <w:tcPr>
            <w:tcW w:type="dxa" w:w="1728"/>
          </w:tcPr>
          <w:p>
            <w:r>
              <w:rPr>
                <w:rFonts w:ascii="Calibri" w:hAnsi="Calibri"/>
                <w:sz w:val="22"/>
              </w:rPr>
              <w:t>Guided at Q1 2026 earnings; reflects MTM reversal timing and seasonal Nutrition strength in Q2</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w:t>
      </w:r>
      <w:r>
        <w:rPr>
          <w:rFonts w:ascii="Calibri" w:hAnsi="Calibri"/>
          <w:b/>
          <w:color w:val="525866"/>
          <w:sz w:val="22"/>
        </w:rPr>
        <w:t>higher since the Q1 print</w:t>
      </w:r>
      <w:r>
        <w:rPr>
          <w:rFonts w:ascii="Calibri" w:hAnsi="Calibri"/>
          <w:color w:val="525866"/>
          <w:sz w:val="22"/>
        </w:rPr>
        <w:t xml:space="preserve"> across all key metrics, tracking management’s raised guidance. The FY2026 consensus EPS of $4.78 now sits </w:t>
      </w:r>
      <w:r>
        <w:rPr>
          <w:rFonts w:ascii="Calibri" w:hAnsi="Calibri"/>
          <w:b/>
          <w:color w:val="525866"/>
          <w:sz w:val="22"/>
        </w:rPr>
        <w:t>8% above the guidance midpoint of $4.43</w:t>
      </w:r>
      <w:r>
        <w:rPr>
          <w:rFonts w:ascii="Calibri" w:hAnsi="Calibri"/>
          <w:color w:val="525866"/>
          <w:sz w:val="22"/>
        </w:rPr>
        <w:t>, suggesting the street is giving ADM credit for execution upside — a gap that represents modest risk if the Q2 mark-to-market reversal disappoints.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at Q1 Earnings +5 Days (May 12, 2026)</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(Q4 2025 Call)</w:t>
            </w:r>
          </w:p>
        </w:tc>
        <w:tc>
          <w:tcPr>
            <w:tcW w:type="dxa" w:w="1080"/>
            <w:shd w:val="clear" w:color="auto" w:fill="3B4259"/>
          </w:tcPr>
          <w:p>
            <w:r>
              <w:rPr>
                <w:rFonts w:ascii="Calibri" w:hAnsi="Calibri"/>
                <w:b/>
                <w:color w:val="FFFFFF"/>
                <w:sz w:val="22"/>
              </w:rPr>
              <w:t>Current Guidance (Q1 2026 Call)</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Current Guidance Midpoint</w:t>
            </w:r>
          </w:p>
        </w:tc>
      </w:tr>
      <w:tr>
        <w:tc>
          <w:tcPr>
            <w:tcW w:type="dxa" w:w="1080"/>
          </w:tcPr>
          <w:p>
            <w:r>
              <w:rPr>
                <w:rFonts w:ascii="Calibri" w:hAnsi="Calibri"/>
                <w:sz w:val="22"/>
              </w:rPr>
              <w:t>Adj. Diluted EPS — Q2 2026</w:t>
            </w:r>
          </w:p>
        </w:tc>
        <w:tc>
          <w:tcPr>
            <w:tcW w:type="dxa" w:w="1080"/>
          </w:tcPr>
          <w:p>
            <w:r>
              <w:rPr>
                <w:rFonts w:ascii="Calibri" w:hAnsi="Calibri"/>
                <w:sz w:val="22"/>
              </w:rPr>
              <w:t>$1.39</w:t>
            </w:r>
          </w:p>
        </w:tc>
        <w:tc>
          <w:tcPr>
            <w:tcW w:type="dxa" w:w="1080"/>
          </w:tcPr>
          <w:p>
            <w:r>
              <w:rPr>
                <w:rFonts w:ascii="Calibri" w:hAnsi="Calibri"/>
                <w:sz w:val="22"/>
              </w:rPr>
              <w:t>$1.44</w:t>
            </w:r>
          </w:p>
        </w:tc>
        <w:tc>
          <w:tcPr>
            <w:tcW w:type="dxa" w:w="1080"/>
          </w:tcPr>
          <w:p>
            <w:r>
              <w:rPr>
                <w:rFonts w:ascii="Calibri" w:hAnsi="Calibri"/>
                <w:b/>
                <w:color w:val="30A46C"/>
                <w:sz w:val="22"/>
              </w:rPr>
              <w:t>+3.6%</w:t>
            </w:r>
          </w:p>
        </w:tc>
        <w:tc>
          <w:tcPr>
            <w:tcW w:type="dxa" w:w="1080"/>
          </w:tcPr>
          <w:p>
            <w:r>
              <w:rPr>
                <w:rFonts w:ascii="Calibri" w:hAnsi="Calibri"/>
                <w:sz w:val="22"/>
              </w:rPr>
              <w:t>N/A (quarterly not guided)</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Diluted EPS — FY2026</w:t>
            </w:r>
          </w:p>
        </w:tc>
        <w:tc>
          <w:tcPr>
            <w:tcW w:type="dxa" w:w="1080"/>
          </w:tcPr>
          <w:p>
            <w:r>
              <w:rPr>
                <w:rFonts w:ascii="Calibri" w:hAnsi="Calibri"/>
                <w:sz w:val="22"/>
              </w:rPr>
              <w:t>$4.57</w:t>
            </w:r>
          </w:p>
        </w:tc>
        <w:tc>
          <w:tcPr>
            <w:tcW w:type="dxa" w:w="1080"/>
          </w:tcPr>
          <w:p>
            <w:r>
              <w:rPr>
                <w:rFonts w:ascii="Calibri" w:hAnsi="Calibri"/>
                <w:sz w:val="22"/>
              </w:rPr>
              <w:t>$4.78</w:t>
            </w:r>
          </w:p>
        </w:tc>
        <w:tc>
          <w:tcPr>
            <w:tcW w:type="dxa" w:w="1080"/>
          </w:tcPr>
          <w:p>
            <w:r>
              <w:rPr>
                <w:rFonts w:ascii="Calibri" w:hAnsi="Calibri"/>
                <w:b/>
                <w:color w:val="30A46C"/>
                <w:sz w:val="22"/>
              </w:rPr>
              <w:t>+4.6%</w:t>
            </w:r>
          </w:p>
        </w:tc>
        <w:tc>
          <w:tcPr>
            <w:tcW w:type="dxa" w:w="1080"/>
          </w:tcPr>
          <w:p>
            <w:r>
              <w:rPr>
                <w:rFonts w:ascii="Calibri" w:hAnsi="Calibri"/>
                <w:sz w:val="22"/>
              </w:rPr>
              <w:t>$3.60–$4.25 (mid: $3.93)</w:t>
            </w:r>
          </w:p>
        </w:tc>
        <w:tc>
          <w:tcPr>
            <w:tcW w:type="dxa" w:w="1080"/>
          </w:tcPr>
          <w:p>
            <w:r>
              <w:rPr>
                <w:rFonts w:ascii="Calibri" w:hAnsi="Calibri"/>
                <w:sz w:val="22"/>
              </w:rPr>
              <w:t>$4.15–$4.70 (mid: $4.43)</w:t>
            </w:r>
          </w:p>
        </w:tc>
        <w:tc>
          <w:tcPr>
            <w:tcW w:type="dxa" w:w="1080"/>
          </w:tcPr>
          <w:p>
            <w:r>
              <w:rPr>
                <w:rFonts w:ascii="Calibri" w:hAnsi="Calibri"/>
                <w:sz w:val="22"/>
              </w:rPr>
              <w:t>+12.7%</w:t>
            </w:r>
          </w:p>
        </w:tc>
        <w:tc>
          <w:tcPr>
            <w:tcW w:type="dxa" w:w="1080"/>
          </w:tcPr>
          <w:p>
            <w:r>
              <w:rPr>
                <w:rFonts w:ascii="Calibri" w:hAnsi="Calibri"/>
                <w:sz w:val="22"/>
              </w:rPr>
              <w:t>+8.1% above midpoint</w:t>
            </w:r>
          </w:p>
        </w:tc>
      </w:tr>
      <w:tr>
        <w:tc>
          <w:tcPr>
            <w:tcW w:type="dxa" w:w="1080"/>
          </w:tcPr>
          <w:p>
            <w:r>
              <w:rPr>
                <w:rFonts w:ascii="Calibri" w:hAnsi="Calibri"/>
                <w:sz w:val="22"/>
              </w:rPr>
              <w:t>Total Segment Op. Profit — Q2 2026</w:t>
            </w:r>
          </w:p>
        </w:tc>
        <w:tc>
          <w:tcPr>
            <w:tcW w:type="dxa" w:w="1080"/>
          </w:tcPr>
          <w:p>
            <w:r>
              <w:rPr>
                <w:rFonts w:ascii="Calibri" w:hAnsi="Calibri"/>
                <w:sz w:val="22"/>
              </w:rPr>
              <w:t>$1,244M</w:t>
            </w:r>
          </w:p>
        </w:tc>
        <w:tc>
          <w:tcPr>
            <w:tcW w:type="dxa" w:w="1080"/>
          </w:tcPr>
          <w:p>
            <w:r>
              <w:rPr>
                <w:rFonts w:ascii="Calibri" w:hAnsi="Calibri"/>
                <w:sz w:val="22"/>
              </w:rPr>
              <w:t>$1,266M</w:t>
            </w:r>
          </w:p>
        </w:tc>
        <w:tc>
          <w:tcPr>
            <w:tcW w:type="dxa" w:w="1080"/>
          </w:tcPr>
          <w:p>
            <w:r>
              <w:rPr>
                <w:rFonts w:ascii="Calibri" w:hAnsi="Calibri"/>
                <w:b/>
                <w:color w:val="30A46C"/>
                <w:sz w:val="22"/>
              </w:rPr>
              <w:t>+1.8%</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Segment Op. Profit — FY2026</w:t>
            </w:r>
          </w:p>
        </w:tc>
        <w:tc>
          <w:tcPr>
            <w:tcW w:type="dxa" w:w="1080"/>
          </w:tcPr>
          <w:p>
            <w:r>
              <w:rPr>
                <w:rFonts w:ascii="Calibri" w:hAnsi="Calibri"/>
                <w:sz w:val="22"/>
              </w:rPr>
              <w:t>$4,357M</w:t>
            </w:r>
          </w:p>
        </w:tc>
        <w:tc>
          <w:tcPr>
            <w:tcW w:type="dxa" w:w="1080"/>
          </w:tcPr>
          <w:p>
            <w:r>
              <w:rPr>
                <w:rFonts w:ascii="Calibri" w:hAnsi="Calibri"/>
                <w:sz w:val="22"/>
              </w:rPr>
              <w:t>$4,453M</w:t>
            </w:r>
          </w:p>
        </w:tc>
        <w:tc>
          <w:tcPr>
            <w:tcW w:type="dxa" w:w="1080"/>
          </w:tcPr>
          <w:p>
            <w:r>
              <w:rPr>
                <w:rFonts w:ascii="Calibri" w:hAnsi="Calibri"/>
                <w:b/>
                <w:color w:val="30A46C"/>
                <w:sz w:val="22"/>
              </w:rPr>
              <w:t>+2.2%</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Crushing Op. Profit — Q2 2026</w:t>
            </w:r>
          </w:p>
        </w:tc>
        <w:tc>
          <w:tcPr>
            <w:tcW w:type="dxa" w:w="1080"/>
          </w:tcPr>
          <w:p>
            <w:r>
              <w:rPr>
                <w:rFonts w:ascii="Calibri" w:hAnsi="Calibri"/>
                <w:sz w:val="22"/>
              </w:rPr>
              <w:t>$263M</w:t>
            </w:r>
          </w:p>
        </w:tc>
        <w:tc>
          <w:tcPr>
            <w:tcW w:type="dxa" w:w="1080"/>
          </w:tcPr>
          <w:p>
            <w:r>
              <w:rPr>
                <w:rFonts w:ascii="Calibri" w:hAnsi="Calibri"/>
                <w:sz w:val="22"/>
              </w:rPr>
              <w:t>$256M</w:t>
            </w:r>
          </w:p>
        </w:tc>
        <w:tc>
          <w:tcPr>
            <w:tcW w:type="dxa" w:w="1080"/>
          </w:tcPr>
          <w:p>
            <w:r>
              <w:rPr>
                <w:rFonts w:ascii="Calibri" w:hAnsi="Calibri"/>
                <w:b/>
                <w:color w:val="E5484D"/>
                <w:sz w:val="22"/>
              </w:rPr>
              <w:t>-2.7%</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Nutrition Op. Profit — Q2 2026</w:t>
            </w:r>
          </w:p>
        </w:tc>
        <w:tc>
          <w:tcPr>
            <w:tcW w:type="dxa" w:w="1080"/>
          </w:tcPr>
          <w:p>
            <w:r>
              <w:rPr>
                <w:rFonts w:ascii="Calibri" w:hAnsi="Calibri"/>
                <w:sz w:val="22"/>
              </w:rPr>
              <w:t>$144M</w:t>
            </w:r>
          </w:p>
        </w:tc>
        <w:tc>
          <w:tcPr>
            <w:tcW w:type="dxa" w:w="1080"/>
          </w:tcPr>
          <w:p>
            <w:r>
              <w:rPr>
                <w:rFonts w:ascii="Calibri" w:hAnsi="Calibri"/>
                <w:sz w:val="22"/>
              </w:rPr>
              <w:t>$147M</w:t>
            </w:r>
          </w:p>
        </w:tc>
        <w:tc>
          <w:tcPr>
            <w:tcW w:type="dxa" w:w="1080"/>
          </w:tcPr>
          <w:p>
            <w:r>
              <w:rPr>
                <w:rFonts w:ascii="Calibri" w:hAnsi="Calibri"/>
                <w:b/>
                <w:color w:val="30A46C"/>
                <w:sz w:val="22"/>
              </w:rPr>
              <w:t>+2.1%</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Source: Visible Alpha Consensus and Actuals Data.</w:t>
      </w:r>
      <w:r>
        <w:rPr>
          <w:rFonts w:ascii="Calibri" w:hAnsi="Calibri"/>
          <w:color w:val="525866"/>
          <w:sz w:val="22"/>
        </w:rPr>
        <w:t xml:space="preserve"> Estimates have drifted modestly higher since the Q1 print across all key metrics, consistent with management’s constructive Q2 setup commentary. The slight downward revision in Crushing Q2 consensus (from $263M to $256M) may reflect some caution around the magnitude of the MTM reversal, but the direction of revisions overall is positive. The FY2026 EPS consensus of $4.78 running 8% above the guidance midpoint implies the street is pricing in execution upside — a setup that rewards a clean beat but leaves limited room for disappointment.</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The 12-month rally of ~44% has been driven by a combination of </w:t>
      </w:r>
      <w:r>
        <w:rPr>
          <w:rFonts w:ascii="Calibri" w:hAnsi="Calibri"/>
          <w:b/>
          <w:color w:val="525866"/>
          <w:sz w:val="22"/>
        </w:rPr>
        <w:t>multiple expansion (+10% on EV/EBITDA) and estimate upgrades</w:t>
      </w:r>
      <w:r>
        <w:rPr>
          <w:rFonts w:ascii="Calibri" w:hAnsi="Calibri"/>
          <w:color w:val="525866"/>
          <w:sz w:val="22"/>
        </w:rPr>
        <w:t>, with the bulk of the move occurring after the RVO finalization in late March 2026 and the Q1 guidance raise in May 2026. The stock is up ~16% over the past six months and ~4% over the past three months, suggesting the initial re-rating is largely complete and further upside requires earnings delivery.</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Time Horizon</w:t>
            </w:r>
          </w:p>
        </w:tc>
        <w:tc>
          <w:tcPr>
            <w:tcW w:type="dxa" w:w="1440"/>
            <w:shd w:val="clear" w:color="auto" w:fill="3B4259"/>
          </w:tcPr>
          <w:p>
            <w:r>
              <w:rPr>
                <w:rFonts w:ascii="Calibri" w:hAnsi="Calibri"/>
                <w:b/>
                <w:color w:val="FFFFFF"/>
                <w:sz w:val="22"/>
              </w:rPr>
              <w:t>ADM Price Return</w:t>
            </w:r>
          </w:p>
        </w:tc>
        <w:tc>
          <w:tcPr>
            <w:tcW w:type="dxa" w:w="1440"/>
            <w:shd w:val="clear" w:color="auto" w:fill="3B4259"/>
          </w:tcPr>
          <w:p>
            <w:r>
              <w:rPr>
                <w:rFonts w:ascii="Calibri" w:hAnsi="Calibri"/>
                <w:b/>
                <w:color w:val="FFFFFF"/>
                <w:sz w:val="22"/>
              </w:rPr>
              <w:t>EV/EBITDA (NTM) at Start</w:t>
            </w:r>
          </w:p>
        </w:tc>
        <w:tc>
          <w:tcPr>
            <w:tcW w:type="dxa" w:w="1440"/>
            <w:shd w:val="clear" w:color="auto" w:fill="3B4259"/>
          </w:tcPr>
          <w:p>
            <w:r>
              <w:rPr>
                <w:rFonts w:ascii="Calibri" w:hAnsi="Calibri"/>
                <w:b/>
                <w:color w:val="FFFFFF"/>
                <w:sz w:val="22"/>
              </w:rPr>
              <w:t>EV/EBITDA (NTM) Current</w:t>
            </w:r>
          </w:p>
        </w:tc>
        <w:tc>
          <w:tcPr>
            <w:tcW w:type="dxa" w:w="1440"/>
            <w:shd w:val="clear" w:color="auto" w:fill="3B4259"/>
          </w:tcPr>
          <w:p>
            <w:r>
              <w:rPr>
                <w:rFonts w:ascii="Calibri" w:hAnsi="Calibri"/>
                <w:b/>
                <w:color w:val="FFFFFF"/>
                <w:sz w:val="22"/>
              </w:rPr>
              <w:t>Multiple Δ</w:t>
            </w:r>
          </w:p>
        </w:tc>
        <w:tc>
          <w:tcPr>
            <w:tcW w:type="dxa" w:w="1440"/>
            <w:shd w:val="clear" w:color="auto" w:fill="3B4259"/>
          </w:tcPr>
          <w:p>
            <w:r>
              <w:rPr>
                <w:rFonts w:ascii="Calibri" w:hAnsi="Calibri"/>
                <w:b/>
                <w:color w:val="FFFFFF"/>
                <w:sz w:val="22"/>
              </w:rPr>
              <w:t>Driver</w:t>
            </w:r>
          </w:p>
        </w:tc>
      </w:tr>
      <w:tr>
        <w:tc>
          <w:tcPr>
            <w:tcW w:type="dxa" w:w="1440"/>
          </w:tcPr>
          <w:p>
            <w:r>
              <w:rPr>
                <w:rFonts w:ascii="Calibri" w:hAnsi="Calibri"/>
                <w:sz w:val="22"/>
              </w:rPr>
              <w:t>1 Month</w:t>
            </w:r>
          </w:p>
        </w:tc>
        <w:tc>
          <w:tcPr>
            <w:tcW w:type="dxa" w:w="1440"/>
          </w:tcPr>
          <w:p>
            <w:r>
              <w:rPr>
                <w:rFonts w:ascii="Calibri" w:hAnsi="Calibri"/>
                <w:sz w:val="22"/>
              </w:rPr>
              <w:t>+1.7%</w:t>
            </w:r>
          </w:p>
        </w:tc>
        <w:tc>
          <w:tcPr>
            <w:tcW w:type="dxa" w:w="1440"/>
          </w:tcPr>
          <w:p>
            <w:r>
              <w:rPr>
                <w:rFonts w:ascii="Calibri" w:hAnsi="Calibri"/>
                <w:sz w:val="22"/>
              </w:rPr>
              <w:t>9.98x</w:t>
            </w:r>
          </w:p>
        </w:tc>
        <w:tc>
          <w:tcPr>
            <w:tcW w:type="dxa" w:w="1440"/>
          </w:tcPr>
          <w:p>
            <w:r>
              <w:rPr>
                <w:rFonts w:ascii="Calibri" w:hAnsi="Calibri"/>
                <w:sz w:val="22"/>
              </w:rPr>
              <w:t>9.96x</w:t>
            </w:r>
          </w:p>
        </w:tc>
        <w:tc>
          <w:tcPr>
            <w:tcW w:type="dxa" w:w="1440"/>
          </w:tcPr>
          <w:p>
            <w:r>
              <w:rPr>
                <w:rFonts w:ascii="Calibri" w:hAnsi="Calibri"/>
                <w:sz w:val="22"/>
              </w:rPr>
              <w:t>-0.2%</w:t>
            </w:r>
          </w:p>
        </w:tc>
        <w:tc>
          <w:tcPr>
            <w:tcW w:type="dxa" w:w="1440"/>
          </w:tcPr>
          <w:p>
            <w:r>
              <w:rPr>
                <w:rFonts w:ascii="Calibri" w:hAnsi="Calibri"/>
                <w:sz w:val="22"/>
              </w:rPr>
              <w:t>Earnings-driven (estimate upgrades)</w:t>
            </w:r>
          </w:p>
        </w:tc>
      </w:tr>
      <w:tr>
        <w:tc>
          <w:tcPr>
            <w:tcW w:type="dxa" w:w="1440"/>
          </w:tcPr>
          <w:p>
            <w:r>
              <w:rPr>
                <w:rFonts w:ascii="Calibri" w:hAnsi="Calibri"/>
                <w:sz w:val="22"/>
              </w:rPr>
              <w:t>3 Months</w:t>
            </w:r>
          </w:p>
        </w:tc>
        <w:tc>
          <w:tcPr>
            <w:tcW w:type="dxa" w:w="1440"/>
          </w:tcPr>
          <w:p>
            <w:r>
              <w:rPr>
                <w:rFonts w:ascii="Calibri" w:hAnsi="Calibri"/>
                <w:sz w:val="22"/>
              </w:rPr>
              <w:t>+4.2%</w:t>
            </w:r>
          </w:p>
        </w:tc>
        <w:tc>
          <w:tcPr>
            <w:tcW w:type="dxa" w:w="1440"/>
          </w:tcPr>
          <w:p>
            <w:r>
              <w:rPr>
                <w:rFonts w:ascii="Calibri" w:hAnsi="Calibri"/>
                <w:sz w:val="22"/>
              </w:rPr>
              <w:t>10.36x</w:t>
            </w:r>
          </w:p>
        </w:tc>
        <w:tc>
          <w:tcPr>
            <w:tcW w:type="dxa" w:w="1440"/>
          </w:tcPr>
          <w:p>
            <w:r>
              <w:rPr>
                <w:rFonts w:ascii="Calibri" w:hAnsi="Calibri"/>
                <w:sz w:val="22"/>
              </w:rPr>
              <w:t>9.96x</w:t>
            </w:r>
          </w:p>
        </w:tc>
        <w:tc>
          <w:tcPr>
            <w:tcW w:type="dxa" w:w="1440"/>
          </w:tcPr>
          <w:p>
            <w:r>
              <w:rPr>
                <w:rFonts w:ascii="Calibri" w:hAnsi="Calibri"/>
                <w:sz w:val="22"/>
              </w:rPr>
              <w:t>-3.8%</w:t>
            </w:r>
          </w:p>
        </w:tc>
        <w:tc>
          <w:tcPr>
            <w:tcW w:type="dxa" w:w="1440"/>
          </w:tcPr>
          <w:p>
            <w:r>
              <w:rPr>
                <w:rFonts w:ascii="Calibri" w:hAnsi="Calibri"/>
                <w:sz w:val="22"/>
              </w:rPr>
              <w:t>Earnings-driven (multiple compressed, estimates rose)</w:t>
            </w:r>
          </w:p>
        </w:tc>
      </w:tr>
      <w:tr>
        <w:tc>
          <w:tcPr>
            <w:tcW w:type="dxa" w:w="1440"/>
          </w:tcPr>
          <w:p>
            <w:r>
              <w:rPr>
                <w:rFonts w:ascii="Calibri" w:hAnsi="Calibri"/>
                <w:sz w:val="22"/>
              </w:rPr>
              <w:t>6 Months</w:t>
            </w:r>
          </w:p>
        </w:tc>
        <w:tc>
          <w:tcPr>
            <w:tcW w:type="dxa" w:w="1440"/>
          </w:tcPr>
          <w:p>
            <w:r>
              <w:rPr>
                <w:rFonts w:ascii="Calibri" w:hAnsi="Calibri"/>
                <w:sz w:val="22"/>
              </w:rPr>
              <w:t>+16.0%</w:t>
            </w:r>
          </w:p>
        </w:tc>
        <w:tc>
          <w:tcPr>
            <w:tcW w:type="dxa" w:w="1440"/>
          </w:tcPr>
          <w:p>
            <w:r>
              <w:rPr>
                <w:rFonts w:ascii="Calibri" w:hAnsi="Calibri"/>
                <w:sz w:val="22"/>
              </w:rPr>
              <w:t>9.70x</w:t>
            </w:r>
          </w:p>
        </w:tc>
        <w:tc>
          <w:tcPr>
            <w:tcW w:type="dxa" w:w="1440"/>
          </w:tcPr>
          <w:p>
            <w:r>
              <w:rPr>
                <w:rFonts w:ascii="Calibri" w:hAnsi="Calibri"/>
                <w:sz w:val="22"/>
              </w:rPr>
              <w:t>9.96x</w:t>
            </w:r>
          </w:p>
        </w:tc>
        <w:tc>
          <w:tcPr>
            <w:tcW w:type="dxa" w:w="1440"/>
          </w:tcPr>
          <w:p>
            <w:r>
              <w:rPr>
                <w:rFonts w:ascii="Calibri" w:hAnsi="Calibri"/>
                <w:sz w:val="22"/>
              </w:rPr>
              <w:t>+2.7%</w:t>
            </w:r>
          </w:p>
        </w:tc>
        <w:tc>
          <w:tcPr>
            <w:tcW w:type="dxa" w:w="1440"/>
          </w:tcPr>
          <w:p>
            <w:r>
              <w:rPr>
                <w:rFonts w:ascii="Calibri" w:hAnsi="Calibri"/>
                <w:sz w:val="22"/>
              </w:rPr>
              <w:t>Mixed: estimate upgrades + modest multiple expansion</w:t>
            </w:r>
          </w:p>
        </w:tc>
      </w:tr>
      <w:tr>
        <w:tc>
          <w:tcPr>
            <w:tcW w:type="dxa" w:w="1440"/>
          </w:tcPr>
          <w:p>
            <w:r>
              <w:rPr>
                <w:rFonts w:ascii="Calibri" w:hAnsi="Calibri"/>
                <w:sz w:val="22"/>
              </w:rPr>
              <w:t>12 Months</w:t>
            </w:r>
          </w:p>
        </w:tc>
        <w:tc>
          <w:tcPr>
            <w:tcW w:type="dxa" w:w="1440"/>
          </w:tcPr>
          <w:p>
            <w:r>
              <w:rPr>
                <w:rFonts w:ascii="Calibri" w:hAnsi="Calibri"/>
                <w:sz w:val="22"/>
              </w:rPr>
              <w:t>+44.1%</w:t>
            </w:r>
          </w:p>
        </w:tc>
        <w:tc>
          <w:tcPr>
            <w:tcW w:type="dxa" w:w="1440"/>
          </w:tcPr>
          <w:p>
            <w:r>
              <w:rPr>
                <w:rFonts w:ascii="Calibri" w:hAnsi="Calibri"/>
                <w:sz w:val="22"/>
              </w:rPr>
              <w:t>9.07x</w:t>
            </w:r>
          </w:p>
        </w:tc>
        <w:tc>
          <w:tcPr>
            <w:tcW w:type="dxa" w:w="1440"/>
          </w:tcPr>
          <w:p>
            <w:r>
              <w:rPr>
                <w:rFonts w:ascii="Calibri" w:hAnsi="Calibri"/>
                <w:sz w:val="22"/>
              </w:rPr>
              <w:t>9.96x</w:t>
            </w:r>
          </w:p>
        </w:tc>
        <w:tc>
          <w:tcPr>
            <w:tcW w:type="dxa" w:w="1440"/>
          </w:tcPr>
          <w:p>
            <w:r>
              <w:rPr>
                <w:rFonts w:ascii="Calibri" w:hAnsi="Calibri"/>
                <w:sz w:val="22"/>
              </w:rPr>
              <w:t>+9.8%</w:t>
            </w:r>
          </w:p>
        </w:tc>
        <w:tc>
          <w:tcPr>
            <w:tcW w:type="dxa" w:w="1440"/>
          </w:tcPr>
          <w:p>
            <w:r>
              <w:rPr>
                <w:rFonts w:ascii="Calibri" w:hAnsi="Calibri"/>
                <w:sz w:val="22"/>
              </w:rPr>
              <w:t>Multiple expansion + estimate upgrades</w:t>
            </w:r>
          </w:p>
        </w:tc>
      </w:tr>
    </w:tbl>
    <w:p>
      <w:r>
        <w:rPr>
          <w:rFonts w:ascii="Calibri" w:hAnsi="Calibri"/>
          <w:i/>
          <w:color w:val="525866"/>
          <w:sz w:val="22"/>
        </w:rPr>
        <w:t>Source: Stock Performance Decomposition data as of August 3, 2026. NTM = Next Twelve Months. Current NTM EV/EBITDA of 9.96x compares to a 12-month starting multiple of 9.07x, reflecting the re-rating driven by RVO clarity and the guidance raise. The 3-month window shows multiple compression alongside price appreciation, indicating the recent move has been entirely earnings-driven — a healthier and more durable setup than sentiment-driven multiple expansion.</w:t>
      </w:r>
    </w:p>
    <w:p>
      <w:r>
        <w:rPr>
          <w:rFonts w:ascii="Calibri" w:hAnsi="Calibri"/>
          <w:b/>
          <w:color w:val="525866"/>
          <w:sz w:val="22"/>
        </w:rPr>
        <w:t>Key Events Since Last Earnings (May 5, 2026):</w:t>
      </w:r>
    </w:p>
    <w:p>
      <w:pPr>
        <w:pStyle w:val="ListBullet"/>
        <w:ind w:left="360" w:hanging="360"/>
      </w:pPr>
      <w:r>
        <w:rPr>
          <w:rFonts w:ascii="Calibri" w:hAnsi="Calibri"/>
          <w:b/>
          <w:color w:val="525866"/>
          <w:sz w:val="22"/>
        </w:rPr>
        <w:t>May 5, 2026:</w:t>
      </w:r>
      <w:r>
        <w:rPr>
          <w:rFonts w:ascii="Calibri" w:hAnsi="Calibri"/>
          <w:color w:val="525866"/>
          <w:sz w:val="22"/>
        </w:rPr>
        <w:t xml:space="preserve"> Q1 2026 earnings beat; FY2026 EPS guidance raised to $4.15–$4.70 from $3.60–$4.25; stock rose modestly in premarket.</w:t>
      </w:r>
    </w:p>
    <w:p>
      <w:pPr>
        <w:pStyle w:val="ListBullet"/>
        <w:ind w:left="360" w:hanging="360"/>
      </w:pPr>
      <w:r>
        <w:rPr>
          <w:rFonts w:ascii="Calibri" w:hAnsi="Calibri"/>
          <w:b/>
          <w:color w:val="525866"/>
          <w:sz w:val="22"/>
        </w:rPr>
        <w:t>July 23, 2026:</w:t>
      </w:r>
      <w:r>
        <w:rPr>
          <w:rFonts w:ascii="Calibri" w:hAnsi="Calibri"/>
          <w:color w:val="525866"/>
          <w:sz w:val="22"/>
        </w:rPr>
        <w:t xml:space="preserve"> ADM appointed Jeff Rowe (former Syngenta CEO) as EVP &amp; COO, effective August 17, 2026 — a significant leadership addition signaling operational focus.</w:t>
      </w:r>
    </w:p>
    <w:p>
      <w:r>
        <w:br w:type="page"/>
      </w:r>
    </w:p>
    <w:p>
      <w:pPr>
        <w:pStyle w:val="Heading1"/>
        <w:pBdr>
          <w:bottom w:val="single" w:sz="4" w:space="1" w:color="FB9120"/>
        </w:pBdr>
      </w:pPr>
      <w:r>
        <w:rPr>
          <w:rFonts w:ascii="Calibri" w:hAnsi="Calibri"/>
          <w:b/>
          <w:color w:val="3B4259"/>
          <w:sz w:val="40"/>
        </w:rPr>
        <w:t>6. Peer Commentary — Q2 2026 Current-Quarter Read-Through</w:t>
      </w:r>
    </w:p>
    <w:p>
      <w:r>
        <w:rPr>
          <w:rFonts w:ascii="Calibri" w:hAnsi="Calibri"/>
          <w:b/>
          <w:color w:val="525866"/>
          <w:sz w:val="22"/>
        </w:rPr>
        <w:t xml:space="preserve">Key Takeaway: </w:t>
      </w:r>
      <w:r>
        <w:rPr>
          <w:rFonts w:ascii="Calibri" w:hAnsi="Calibri"/>
          <w:color w:val="525866"/>
          <w:sz w:val="22"/>
        </w:rPr>
        <w:t xml:space="preserve">Peer commentary from Q2 2026 earnings (reported in the last 60 days) is </w:t>
      </w:r>
      <w:r>
        <w:rPr>
          <w:rFonts w:ascii="Calibri" w:hAnsi="Calibri"/>
          <w:b/>
          <w:color w:val="525866"/>
          <w:sz w:val="22"/>
        </w:rPr>
        <w:t>broadly positive for ADM’s core businesses</w:t>
      </w:r>
      <w:r>
        <w:rPr>
          <w:rFonts w:ascii="Calibri" w:hAnsi="Calibri"/>
          <w:color w:val="525866"/>
          <w:sz w:val="22"/>
        </w:rPr>
        <w:t>: Bunge confirmed best-in-six-quarters soy crush margins in Q2, Darling Ingredients reported outstanding renewable diesel performance with an attractive margin outlook, and both cited RVO clarity and robust biofuel demand as durable tailwinds. The read-through to ADM’s Crushing and Carbohydrate Solutions segments is constructive. Caveats are noted where peer-specific factors limit direct applicability.</w:t>
      </w:r>
    </w:p>
    <w:p>
      <w:r>
        <w:rPr>
          <w:rFonts w:ascii="Calibri" w:hAnsi="Calibri"/>
          <w:b/>
          <w:i/>
          <w:color w:val="525866"/>
          <w:sz w:val="22"/>
        </w:rPr>
        <w:t xml:space="preserve">Note: </w:t>
      </w:r>
      <w:r>
        <w:rPr>
          <w:rFonts w:ascii="Calibri" w:hAnsi="Calibri"/>
          <w:i/>
          <w:color w:val="525866"/>
          <w:sz w:val="22"/>
        </w:rPr>
        <w:t>Only commentary explicitly about Q2 2026 performance or the current operating environment (made within the last 60 days) is included below. Peer views solely on Q3 or FY outlook, or prior-quarter results, are excluded.</w:t>
      </w:r>
    </w:p>
    <w:p>
      <w:pPr>
        <w:pStyle w:val="Heading2"/>
      </w:pPr>
      <w:r>
        <w:rPr>
          <w:rFonts w:ascii="Calibri" w:hAnsi="Calibri"/>
          <w:b/>
          <w:color w:val="3B4259"/>
          <w:sz w:val="28"/>
        </w:rPr>
        <w:t>Bunge (BG) — Q2 2026 Earnings (Reported July 29, 2026)</w:t>
      </w:r>
    </w:p>
    <w:p>
      <w:r>
        <w:rPr>
          <w:rFonts w:ascii="Calibri" w:hAnsi="Calibri"/>
          <w:b/>
          <w:color w:val="525866"/>
          <w:sz w:val="22"/>
        </w:rPr>
        <w:t xml:space="preserve">Read-Through: </w:t>
      </w:r>
      <w:r>
        <w:rPr>
          <w:rFonts w:ascii="Calibri" w:hAnsi="Calibri"/>
          <w:b/>
          <w:color w:val="30A46C"/>
          <w:sz w:val="22"/>
        </w:rPr>
        <w:t>Positive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Topic</w:t>
            </w:r>
          </w:p>
        </w:tc>
        <w:tc>
          <w:tcPr>
            <w:tcW w:type="dxa" w:w="2160"/>
            <w:shd w:val="clear" w:color="auto" w:fill="3B4259"/>
          </w:tcPr>
          <w:p>
            <w:r>
              <w:rPr>
                <w:rFonts w:ascii="Calibri" w:hAnsi="Calibri"/>
                <w:b/>
                <w:color w:val="FFFFFF"/>
                <w:sz w:val="22"/>
              </w:rPr>
              <w:t>Bunge Q2 2026 Commentary</w:t>
            </w:r>
          </w:p>
        </w:tc>
        <w:tc>
          <w:tcPr>
            <w:tcW w:type="dxa" w:w="2160"/>
            <w:shd w:val="clear" w:color="auto" w:fill="3B4259"/>
          </w:tcPr>
          <w:p>
            <w:r>
              <w:rPr>
                <w:rFonts w:ascii="Calibri" w:hAnsi="Calibri"/>
                <w:b/>
                <w:color w:val="FFFFFF"/>
                <w:sz w:val="22"/>
              </w:rPr>
              <w:t>ADM Read-Through</w:t>
            </w:r>
          </w:p>
        </w:tc>
        <w:tc>
          <w:tcPr>
            <w:tcW w:type="dxa" w:w="2160"/>
            <w:shd w:val="clear" w:color="auto" w:fill="3B4259"/>
          </w:tcPr>
          <w:p>
            <w:r>
              <w:rPr>
                <w:rFonts w:ascii="Calibri" w:hAnsi="Calibri"/>
                <w:b/>
                <w:color w:val="FFFFFF"/>
                <w:sz w:val="22"/>
              </w:rPr>
              <w:t>Caveat</w:t>
            </w:r>
          </w:p>
        </w:tc>
      </w:tr>
      <w:tr>
        <w:tc>
          <w:tcPr>
            <w:tcW w:type="dxa" w:w="2160"/>
          </w:tcPr>
          <w:p>
            <w:r>
              <w:rPr>
                <w:rFonts w:ascii="Calibri" w:hAnsi="Calibri"/>
                <w:sz w:val="22"/>
              </w:rPr>
              <w:t>Soy Crush Margins</w:t>
            </w:r>
          </w:p>
        </w:tc>
        <w:tc>
          <w:tcPr>
            <w:tcW w:type="dxa" w:w="2160"/>
          </w:tcPr>
          <w:p>
            <w:r>
              <w:rPr>
                <w:rFonts w:ascii="Calibri" w:hAnsi="Calibri"/>
                <w:sz w:val="22"/>
              </w:rPr>
              <w:t>"Our best margins in soy processing over the last six quarters has been this quarter in Q2." US crush margins supported by RVO clarity and robust global meal/corn demand. North America "leading the global crush."</w:t>
            </w:r>
          </w:p>
        </w:tc>
        <w:tc>
          <w:tcPr>
            <w:tcW w:type="dxa" w:w="2160"/>
          </w:tcPr>
          <w:p>
            <w:r>
              <w:rPr>
                <w:rFonts w:ascii="Calibri" w:hAnsi="Calibri"/>
                <w:b/>
                <w:color w:val="30A46C"/>
                <w:sz w:val="22"/>
              </w:rPr>
              <w:t>Directly positive for ADM’s Crushing segment. Confirms the RVO-driven margin improvement management guided to. Supports the consensus estimate of ~$256M Crushing OP in Q2.</w:t>
            </w:r>
          </w:p>
        </w:tc>
        <w:tc>
          <w:tcPr>
            <w:tcW w:type="dxa" w:w="2160"/>
          </w:tcPr>
          <w:p>
            <w:r>
              <w:rPr>
                <w:rFonts w:ascii="Calibri" w:hAnsi="Calibri"/>
                <w:sz w:val="22"/>
              </w:rPr>
              <w:t>Bunge’s expanded Viterra capacity and Argentina footprint provide specific advantages. ADM’s realized margins depend on its own hedging book and basis levels.</w:t>
            </w:r>
          </w:p>
        </w:tc>
      </w:tr>
      <w:tr>
        <w:tc>
          <w:tcPr>
            <w:tcW w:type="dxa" w:w="2160"/>
          </w:tcPr>
          <w:p>
            <w:r>
              <w:rPr>
                <w:rFonts w:ascii="Calibri" w:hAnsi="Calibri"/>
                <w:sz w:val="22"/>
              </w:rPr>
              <w:t>Biofuel / RVO Demand</w:t>
            </w:r>
          </w:p>
        </w:tc>
        <w:tc>
          <w:tcPr>
            <w:tcW w:type="dxa" w:w="2160"/>
          </w:tcPr>
          <w:p>
            <w:r>
              <w:rPr>
                <w:rFonts w:ascii="Calibri" w:hAnsi="Calibri"/>
                <w:sz w:val="22"/>
              </w:rPr>
              <w:t>"Feedstock demand across our global processing network is benefiting from the constructive RVO in the US, along with growing biodiesel blend rates in other countries." US refined oil demand continues to improve. Soy and soft seed oils expected to contribute ~50% of global vegetable oil production growth over the next decade.</w:t>
            </w:r>
          </w:p>
        </w:tc>
        <w:tc>
          <w:tcPr>
            <w:tcW w:type="dxa" w:w="2160"/>
          </w:tcPr>
          <w:p>
            <w:r>
              <w:rPr>
                <w:rFonts w:ascii="Calibri" w:hAnsi="Calibri"/>
                <w:b/>
                <w:color w:val="30A46C"/>
                <w:sz w:val="22"/>
              </w:rPr>
              <w:t>Positive for ADM’s soybean oil sales and renewable fuels feedstock business. Long-term structural demand tailwind confirmed by a direct peer.</w:t>
            </w:r>
          </w:p>
        </w:tc>
        <w:tc>
          <w:tcPr>
            <w:tcW w:type="dxa" w:w="2160"/>
          </w:tcPr>
          <w:p>
            <w:r>
              <w:rPr>
                <w:rFonts w:ascii="Calibri" w:hAnsi="Calibri"/>
                <w:sz w:val="22"/>
              </w:rPr>
              <w:t>Bunge’s specific SAF/renewable diesel partnerships in Brazil are unique to their portfolio.</w:t>
            </w:r>
          </w:p>
        </w:tc>
      </w:tr>
      <w:tr>
        <w:tc>
          <w:tcPr>
            <w:tcW w:type="dxa" w:w="2160"/>
          </w:tcPr>
          <w:p>
            <w:r>
              <w:rPr>
                <w:rFonts w:ascii="Calibri" w:hAnsi="Calibri"/>
                <w:sz w:val="22"/>
              </w:rPr>
              <w:t>Grain Merchandising</w:t>
            </w:r>
          </w:p>
        </w:tc>
        <w:tc>
          <w:tcPr>
            <w:tcW w:type="dxa" w:w="2160"/>
          </w:tcPr>
          <w:p>
            <w:r>
              <w:rPr>
                <w:rFonts w:ascii="Calibri" w:hAnsi="Calibri"/>
                <w:sz w:val="22"/>
              </w:rPr>
              <w:t>"The merchandising environment definitely remains challenging" due to ample grain supplies and balanced S&amp;D. Black Sea conflict introduced uncertainty on wheat. Potential China corn imports being monitored.</w:t>
            </w:r>
          </w:p>
        </w:tc>
        <w:tc>
          <w:tcPr>
            <w:tcW w:type="dxa" w:w="2160"/>
          </w:tcPr>
          <w:p>
            <w:r>
              <w:rPr>
                <w:rFonts w:ascii="Calibri" w:hAnsi="Calibri"/>
                <w:b/>
                <w:color w:val="002FA7"/>
                <w:sz w:val="22"/>
              </w:rPr>
              <w:t>Mixed for ADM’s Ag Services segment. Challenging merchandising environment likely shared; potential China corn demand is a positive wildcard.</w:t>
            </w:r>
          </w:p>
        </w:tc>
        <w:tc>
          <w:tcPr>
            <w:tcW w:type="dxa" w:w="2160"/>
          </w:tcPr>
          <w:p>
            <w:r>
              <w:rPr>
                <w:rFonts w:ascii="Calibri" w:hAnsi="Calibri"/>
                <w:sz w:val="22"/>
              </w:rPr>
              <w:t>Bunge’s doubled ocean freight fleet (Viterra) provides a distinct advantage in navigating trade flows.</w:t>
            </w:r>
          </w:p>
        </w:tc>
      </w:tr>
      <w:tr>
        <w:tc>
          <w:tcPr>
            <w:tcW w:type="dxa" w:w="2160"/>
          </w:tcPr>
          <w:p>
            <w:r>
              <w:rPr>
                <w:rFonts w:ascii="Calibri" w:hAnsi="Calibri"/>
                <w:sz w:val="22"/>
              </w:rPr>
              <w:t>Food Ingredients</w:t>
            </w:r>
          </w:p>
        </w:tc>
        <w:tc>
          <w:tcPr>
            <w:tcW w:type="dxa" w:w="2160"/>
          </w:tcPr>
          <w:p>
            <w:r>
              <w:rPr>
                <w:rFonts w:ascii="Calibri" w:hAnsi="Calibri"/>
                <w:sz w:val="22"/>
              </w:rPr>
              <w:t>Food customers in a "challenging environment" — more short-bought, some switching to lower-value products. Some customers returning to innovation. Cocoa butter equivalent prices rising again.</w:t>
            </w:r>
          </w:p>
        </w:tc>
        <w:tc>
          <w:tcPr>
            <w:tcW w:type="dxa" w:w="2160"/>
          </w:tcPr>
          <w:p>
            <w:r>
              <w:rPr>
                <w:rFonts w:ascii="Calibri" w:hAnsi="Calibri"/>
                <w:b/>
                <w:color w:val="002FA7"/>
                <w:sz w:val="22"/>
              </w:rPr>
              <w:t>Mixed for ADM’s Nutrition segment. Challenging food customer environment is a shared headwind, but ADM’s Flavors business has shown resilience.</w:t>
            </w:r>
          </w:p>
        </w:tc>
        <w:tc>
          <w:tcPr>
            <w:tcW w:type="dxa" w:w="2160"/>
          </w:tcPr>
          <w:p>
            <w:r>
              <w:rPr>
                <w:rFonts w:ascii="Calibri" w:hAnsi="Calibri"/>
                <w:sz w:val="22"/>
              </w:rPr>
              <w:t>Bunge’s focus is tropical oils; ADM’s Nutrition portfolio is broader and includes specialty ingredients.</w:t>
            </w:r>
          </w:p>
        </w:tc>
      </w:tr>
    </w:tbl>
    <w:p>
      <w:pPr>
        <w:pStyle w:val="Heading2"/>
      </w:pPr>
      <w:r>
        <w:rPr>
          <w:rFonts w:ascii="Calibri" w:hAnsi="Calibri"/>
          <w:b/>
          <w:color w:val="3B4259"/>
          <w:sz w:val="28"/>
        </w:rPr>
        <w:t>Darling Ingredients (DAR) — Q2 2026 Earnings (Reported July 30, 2026)</w:t>
      </w:r>
    </w:p>
    <w:p>
      <w:r>
        <w:rPr>
          <w:rFonts w:ascii="Calibri" w:hAnsi="Calibri"/>
          <w:b/>
          <w:color w:val="525866"/>
          <w:sz w:val="22"/>
        </w:rPr>
        <w:t xml:space="preserve">Read-Through: </w:t>
      </w:r>
      <w:r>
        <w:rPr>
          <w:rFonts w:ascii="Calibri" w:hAnsi="Calibri"/>
          <w:b/>
          <w:color w:val="30A46C"/>
          <w:sz w:val="22"/>
        </w:rPr>
        <w:t>Positive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Topic</w:t>
            </w:r>
          </w:p>
        </w:tc>
        <w:tc>
          <w:tcPr>
            <w:tcW w:type="dxa" w:w="2160"/>
            <w:shd w:val="clear" w:color="auto" w:fill="3B4259"/>
          </w:tcPr>
          <w:p>
            <w:r>
              <w:rPr>
                <w:rFonts w:ascii="Calibri" w:hAnsi="Calibri"/>
                <w:b/>
                <w:color w:val="FFFFFF"/>
                <w:sz w:val="22"/>
              </w:rPr>
              <w:t>Darling Q2 2026 Commentary</w:t>
            </w:r>
          </w:p>
        </w:tc>
        <w:tc>
          <w:tcPr>
            <w:tcW w:type="dxa" w:w="2160"/>
            <w:shd w:val="clear" w:color="auto" w:fill="3B4259"/>
          </w:tcPr>
          <w:p>
            <w:r>
              <w:rPr>
                <w:rFonts w:ascii="Calibri" w:hAnsi="Calibri"/>
                <w:b/>
                <w:color w:val="FFFFFF"/>
                <w:sz w:val="22"/>
              </w:rPr>
              <w:t>ADM Read-Through</w:t>
            </w:r>
          </w:p>
        </w:tc>
        <w:tc>
          <w:tcPr>
            <w:tcW w:type="dxa" w:w="2160"/>
            <w:shd w:val="clear" w:color="auto" w:fill="3B4259"/>
          </w:tcPr>
          <w:p>
            <w:r>
              <w:rPr>
                <w:rFonts w:ascii="Calibri" w:hAnsi="Calibri"/>
                <w:b/>
                <w:color w:val="FFFFFF"/>
                <w:sz w:val="22"/>
              </w:rPr>
              <w:t>Caveat</w:t>
            </w:r>
          </w:p>
        </w:tc>
      </w:tr>
      <w:tr>
        <w:tc>
          <w:tcPr>
            <w:tcW w:type="dxa" w:w="2160"/>
          </w:tcPr>
          <w:p>
            <w:r>
              <w:rPr>
                <w:rFonts w:ascii="Calibri" w:hAnsi="Calibri"/>
                <w:sz w:val="22"/>
              </w:rPr>
              <w:t>Renewable Diesel / Biofuel Margins</w:t>
            </w:r>
          </w:p>
        </w:tc>
        <w:tc>
          <w:tcPr>
            <w:tcW w:type="dxa" w:w="2160"/>
          </w:tcPr>
          <w:p>
            <w:r>
              <w:rPr>
                <w:rFonts w:ascii="Calibri" w:hAnsi="Calibri"/>
                <w:sz w:val="22"/>
              </w:rPr>
              <w:t>Diamond Green Diesel (DGD) delivered "outstanding" Q2 performance: $2.23/gallon EBITDA on ~350M gallons sold. "Spot margins today, and the RVO and the mandate through 2027, certainly suggests an attractive margin environment for the foreseeable future." Tight BOHO spread making renewables more cost-competitive vs. conventional diesel.</w:t>
            </w:r>
          </w:p>
        </w:tc>
        <w:tc>
          <w:tcPr>
            <w:tcW w:type="dxa" w:w="2160"/>
          </w:tcPr>
          <w:p>
            <w:r>
              <w:rPr>
                <w:rFonts w:ascii="Calibri" w:hAnsi="Calibri"/>
                <w:b/>
                <w:color w:val="30A46C"/>
                <w:sz w:val="22"/>
              </w:rPr>
              <w:t>Directly positive for ADM’s ethanol and renewable fuels businesses. Confirms the 45Z/RVO-driven margin environment management cited. Supports Carbohydrate Solutions consensus of ~$354M in Q2.</w:t>
            </w:r>
          </w:p>
        </w:tc>
        <w:tc>
          <w:tcPr>
            <w:tcW w:type="dxa" w:w="2160"/>
          </w:tcPr>
          <w:p>
            <w:r>
              <w:rPr>
                <w:rFonts w:ascii="Calibri" w:hAnsi="Calibri"/>
                <w:sz w:val="22"/>
              </w:rPr>
              <w:t>DGD’s Q2 included a ~$51M favorable IIPA tariff recovery specific to DAR. ADM’s ethanol economics differ from renewable diesel.</w:t>
            </w:r>
          </w:p>
        </w:tc>
      </w:tr>
      <w:tr>
        <w:tc>
          <w:tcPr>
            <w:tcW w:type="dxa" w:w="2160"/>
          </w:tcPr>
          <w:p>
            <w:r>
              <w:rPr>
                <w:rFonts w:ascii="Calibri" w:hAnsi="Calibri"/>
                <w:sz w:val="22"/>
              </w:rPr>
              <w:t>Oilseed / Fat &amp; Oil Markets</w:t>
            </w:r>
          </w:p>
        </w:tc>
        <w:tc>
          <w:tcPr>
            <w:tcW w:type="dxa" w:w="2160"/>
          </w:tcPr>
          <w:p>
            <w:r>
              <w:rPr>
                <w:rFonts w:ascii="Calibri" w:hAnsi="Calibri"/>
                <w:sz w:val="22"/>
              </w:rPr>
              <w:t>"The crushing industry is running wide open full. But yet soybean stocks come down. So you can’t exactly get bearish on fats and oils." Fat prices rallied and sustained momentum in Q2, "fueled by robust demand from the biofuel sector."</w:t>
            </w:r>
          </w:p>
        </w:tc>
        <w:tc>
          <w:tcPr>
            <w:tcW w:type="dxa" w:w="2160"/>
          </w:tcPr>
          <w:p>
            <w:r>
              <w:rPr>
                <w:rFonts w:ascii="Calibri" w:hAnsi="Calibri"/>
                <w:b/>
                <w:color w:val="30A46C"/>
                <w:sz w:val="22"/>
              </w:rPr>
              <w:t>Directly positive for ADM’s Crushing segment. Tight soybean stocks + full-capacity crushing + biofuel-driven fat demand = favorable pricing environment for ADM’s oilseed processing.</w:t>
            </w:r>
          </w:p>
        </w:tc>
        <w:tc>
          <w:tcPr>
            <w:tcW w:type="dxa" w:w="2160"/>
          </w:tcPr>
          <w:p>
            <w:r>
              <w:rPr>
                <w:rFonts w:ascii="Calibri" w:hAnsi="Calibri"/>
                <w:sz w:val="22"/>
              </w:rPr>
              <w:t>DAR processes animal fats, not soybeans; the read-through is on the broader fat/oil market dynamics.</w:t>
            </w:r>
          </w:p>
        </w:tc>
      </w:tr>
      <w:tr>
        <w:tc>
          <w:tcPr>
            <w:tcW w:type="dxa" w:w="2160"/>
          </w:tcPr>
          <w:p>
            <w:r>
              <w:rPr>
                <w:rFonts w:ascii="Calibri" w:hAnsi="Calibri"/>
                <w:sz w:val="22"/>
              </w:rPr>
              <w:t>Protein / Feed Markets</w:t>
            </w:r>
          </w:p>
        </w:tc>
        <w:tc>
          <w:tcPr>
            <w:tcW w:type="dxa" w:w="2160"/>
          </w:tcPr>
          <w:p>
            <w:r>
              <w:rPr>
                <w:rFonts w:ascii="Calibri" w:hAnsi="Calibri"/>
                <w:sz w:val="22"/>
              </w:rPr>
              <w:t>"Very strong protein market globally" driven by fishmeal tightness (El Niño), strong poultry production growth (US, Canada, Europe, China), and robust aquaculture and pet food demand. Protein values strengthened.</w:t>
            </w:r>
          </w:p>
        </w:tc>
        <w:tc>
          <w:tcPr>
            <w:tcW w:type="dxa" w:w="2160"/>
          </w:tcPr>
          <w:p>
            <w:r>
              <w:rPr>
                <w:rFonts w:ascii="Calibri" w:hAnsi="Calibri"/>
                <w:b/>
                <w:color w:val="30A46C"/>
                <w:sz w:val="22"/>
              </w:rPr>
              <w:t>Positive for ADM’s Animal Nutrition segment and soy meal demand. Strong global protein demand supports soy meal pricing and volumes.</w:t>
            </w:r>
          </w:p>
        </w:tc>
        <w:tc>
          <w:tcPr>
            <w:tcW w:type="dxa" w:w="2160"/>
          </w:tcPr>
          <w:p>
            <w:r>
              <w:rPr>
                <w:rFonts w:ascii="Calibri" w:hAnsi="Calibri"/>
                <w:sz w:val="22"/>
              </w:rPr>
              <w:t>DAR’s protein products are animal-derived; ADM’s are primarily plant-based. Magnitude of benefit may differ.</w:t>
            </w:r>
          </w:p>
        </w:tc>
      </w:tr>
      <w:tr>
        <w:tc>
          <w:tcPr>
            <w:tcW w:type="dxa" w:w="2160"/>
          </w:tcPr>
          <w:p>
            <w:r>
              <w:rPr>
                <w:rFonts w:ascii="Calibri" w:hAnsi="Calibri"/>
                <w:sz w:val="22"/>
              </w:rPr>
              <w:t>New Renewable Diesel Capacity</w:t>
            </w:r>
          </w:p>
        </w:tc>
        <w:tc>
          <w:tcPr>
            <w:tcW w:type="dxa" w:w="2160"/>
          </w:tcPr>
          <w:p>
            <w:r>
              <w:rPr>
                <w:rFonts w:ascii="Calibri" w:hAnsi="Calibri"/>
                <w:sz w:val="22"/>
              </w:rPr>
              <w:t>"We’re not necessarily seeing a lot of new capital for increased capacity in renewable diesel, at least in the United States." Existing capacity sufficient to meet the mandate.</w:t>
            </w:r>
          </w:p>
        </w:tc>
        <w:tc>
          <w:tcPr>
            <w:tcW w:type="dxa" w:w="2160"/>
          </w:tcPr>
          <w:p>
            <w:r>
              <w:rPr>
                <w:rFonts w:ascii="Calibri" w:hAnsi="Calibri"/>
                <w:b/>
                <w:color w:val="30A46C"/>
                <w:sz w:val="22"/>
              </w:rPr>
              <w:t>Positive structural signal for ADM’s biofuels-related businesses. Limited new capacity means existing producers (and feedstock suppliers like ADM) benefit from sustained demand without margin dilution from oversupply.</w:t>
            </w:r>
          </w:p>
        </w:tc>
        <w:tc>
          <w:tcPr>
            <w:tcW w:type="dxa" w:w="2160"/>
          </w:tcPr>
          <w:p>
            <w:r>
              <w:rPr>
                <w:rFonts w:ascii="Calibri" w:hAnsi="Calibri"/>
                <w:sz w:val="22"/>
              </w:rPr>
              <w:t>Specific to renewable diesel; ADM’s ethanol capacity dynamics are separate.</w:t>
            </w:r>
          </w:p>
        </w:tc>
      </w:tr>
    </w:tbl>
    <w:p>
      <w:pPr>
        <w:pStyle w:val="Heading2"/>
      </w:pPr>
      <w:r>
        <w:rPr>
          <w:rFonts w:ascii="Calibri" w:hAnsi="Calibri"/>
          <w:b/>
          <w:color w:val="3B4259"/>
          <w:sz w:val="28"/>
        </w:rPr>
        <w:t>The Andersons (ANDE) — Q2 2026 Earnings (Reported August 3, 2026)</w:t>
      </w:r>
    </w:p>
    <w:p>
      <w:r>
        <w:rPr>
          <w:rFonts w:ascii="Calibri" w:hAnsi="Calibri"/>
          <w:b/>
          <w:color w:val="525866"/>
          <w:sz w:val="22"/>
        </w:rPr>
        <w:t xml:space="preserve">Read-Through: </w:t>
      </w:r>
      <w:r>
        <w:rPr>
          <w:rFonts w:ascii="Calibri" w:hAnsi="Calibri"/>
          <w:b/>
          <w:color w:val="002FA7"/>
          <w:sz w:val="22"/>
        </w:rPr>
        <w:t>Inconclusive</w:t>
      </w:r>
    </w:p>
    <w:p>
      <w:r>
        <w:rPr>
          <w:rFonts w:ascii="Calibri" w:hAnsi="Calibri"/>
          <w:color w:val="525866"/>
          <w:sz w:val="22"/>
        </w:rPr>
        <w:t>The Andersons filed its Q2 2026 earnings 8-K on August 3, 2026, but the detailed press release (Exhibit 99.1) was not available for analysis at the time of this preview. ANDE is a direct peer in grain origination, ethanol, and plant nutrients. Any commentary on grain merchandising margins, ethanol economics, or agricultural trade flows would be a relevant read-through for ADM’s Ag Services and Carbohydrate Solutions segments. Investors should monitor ANDE’s Q2 results and management commentary released today for incremental color ahead of ADM’s August 4 call.</w:t>
      </w:r>
    </w:p>
    <w:p>
      <w:pPr>
        <w:pStyle w:val="Heading2"/>
      </w:pPr>
      <w:r>
        <w:rPr>
          <w:rFonts w:ascii="Calibri" w:hAnsi="Calibri"/>
          <w:b/>
          <w:color w:val="3B4259"/>
          <w:sz w:val="28"/>
        </w:rPr>
        <w:t>Peer Commentary Summary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ADM Segment Relevance</w:t>
            </w:r>
          </w:p>
        </w:tc>
        <w:tc>
          <w:tcPr>
            <w:tcW w:type="dxa" w:w="1728"/>
            <w:shd w:val="clear" w:color="auto" w:fill="3B4259"/>
          </w:tcPr>
          <w:p>
            <w:r>
              <w:rPr>
                <w:rFonts w:ascii="Calibri" w:hAnsi="Calibri"/>
                <w:b/>
                <w:color w:val="FFFFFF"/>
                <w:sz w:val="22"/>
              </w:rPr>
              <w:t>Read-Through Signal</w:t>
            </w:r>
          </w:p>
        </w:tc>
        <w:tc>
          <w:tcPr>
            <w:tcW w:type="dxa" w:w="1728"/>
            <w:shd w:val="clear" w:color="auto" w:fill="3B4259"/>
          </w:tcPr>
          <w:p>
            <w:r>
              <w:rPr>
                <w:rFonts w:ascii="Calibri" w:hAnsi="Calibri"/>
                <w:b/>
                <w:color w:val="FFFFFF"/>
                <w:sz w:val="22"/>
              </w:rPr>
              <w:t>Key Takeaway for ADM</w:t>
            </w:r>
          </w:p>
        </w:tc>
      </w:tr>
      <w:tr>
        <w:tc>
          <w:tcPr>
            <w:tcW w:type="dxa" w:w="1728"/>
          </w:tcPr>
          <w:p>
            <w:r>
              <w:rPr>
                <w:rFonts w:ascii="Calibri" w:hAnsi="Calibri"/>
                <w:sz w:val="22"/>
              </w:rPr>
              <w:t>Bunge (BG)</w:t>
            </w:r>
          </w:p>
        </w:tc>
        <w:tc>
          <w:tcPr>
            <w:tcW w:type="dxa" w:w="1728"/>
          </w:tcPr>
          <w:p>
            <w:r>
              <w:rPr>
                <w:rFonts w:ascii="Calibri" w:hAnsi="Calibri"/>
                <w:sz w:val="22"/>
              </w:rPr>
              <w:t>July 29, 2026</w:t>
            </w:r>
          </w:p>
        </w:tc>
        <w:tc>
          <w:tcPr>
            <w:tcW w:type="dxa" w:w="1728"/>
          </w:tcPr>
          <w:p>
            <w:r>
              <w:rPr>
                <w:rFonts w:ascii="Calibri" w:hAnsi="Calibri"/>
                <w:sz w:val="22"/>
              </w:rPr>
              <w:t>Crushing, Ag Services, Nutrition</w:t>
            </w:r>
          </w:p>
        </w:tc>
        <w:tc>
          <w:tcPr>
            <w:tcW w:type="dxa" w:w="1728"/>
          </w:tcPr>
          <w:p>
            <w:r>
              <w:rPr>
                <w:rFonts w:ascii="Calibri" w:hAnsi="Calibri"/>
                <w:b/>
                <w:color w:val="30A46C"/>
                <w:sz w:val="22"/>
              </w:rPr>
              <w:t>Positive</w:t>
            </w:r>
          </w:p>
        </w:tc>
        <w:tc>
          <w:tcPr>
            <w:tcW w:type="dxa" w:w="1728"/>
          </w:tcPr>
          <w:p>
            <w:r>
              <w:rPr>
                <w:rFonts w:ascii="Calibri" w:hAnsi="Calibri"/>
                <w:sz w:val="22"/>
              </w:rPr>
              <w:t>Best soy crush margins in 6 quarters; RVO-driven feedstock demand durable; merchandising environment challenging</w:t>
            </w:r>
          </w:p>
        </w:tc>
      </w:tr>
      <w:tr>
        <w:tc>
          <w:tcPr>
            <w:tcW w:type="dxa" w:w="1728"/>
          </w:tcPr>
          <w:p>
            <w:r>
              <w:rPr>
                <w:rFonts w:ascii="Calibri" w:hAnsi="Calibri"/>
                <w:sz w:val="22"/>
              </w:rPr>
              <w:t>Darling Ingredients (DAR)</w:t>
            </w:r>
          </w:p>
        </w:tc>
        <w:tc>
          <w:tcPr>
            <w:tcW w:type="dxa" w:w="1728"/>
          </w:tcPr>
          <w:p>
            <w:r>
              <w:rPr>
                <w:rFonts w:ascii="Calibri" w:hAnsi="Calibri"/>
                <w:sz w:val="22"/>
              </w:rPr>
              <w:t>July 30, 2026</w:t>
            </w:r>
          </w:p>
        </w:tc>
        <w:tc>
          <w:tcPr>
            <w:tcW w:type="dxa" w:w="1728"/>
          </w:tcPr>
          <w:p>
            <w:r>
              <w:rPr>
                <w:rFonts w:ascii="Calibri" w:hAnsi="Calibri"/>
                <w:sz w:val="22"/>
              </w:rPr>
              <w:t>Crushing (fats/oils), Carb Solutions (ethanol), Animal Nutrition</w:t>
            </w:r>
          </w:p>
        </w:tc>
        <w:tc>
          <w:tcPr>
            <w:tcW w:type="dxa" w:w="1728"/>
          </w:tcPr>
          <w:p>
            <w:r>
              <w:rPr>
                <w:rFonts w:ascii="Calibri" w:hAnsi="Calibri"/>
                <w:b/>
                <w:color w:val="30A46C"/>
                <w:sz w:val="22"/>
              </w:rPr>
              <w:t>Positive</w:t>
            </w:r>
          </w:p>
        </w:tc>
        <w:tc>
          <w:tcPr>
            <w:tcW w:type="dxa" w:w="1728"/>
          </w:tcPr>
          <w:p>
            <w:r>
              <w:rPr>
                <w:rFonts w:ascii="Calibri" w:hAnsi="Calibri"/>
                <w:sz w:val="22"/>
              </w:rPr>
              <w:t>Outstanding renewable diesel margins; fat prices rallied on biofuel demand; strong global protein market; no new RD capacity being built</w:t>
            </w:r>
          </w:p>
        </w:tc>
      </w:tr>
      <w:tr>
        <w:tc>
          <w:tcPr>
            <w:tcW w:type="dxa" w:w="1728"/>
          </w:tcPr>
          <w:p>
            <w:r>
              <w:rPr>
                <w:rFonts w:ascii="Calibri" w:hAnsi="Calibri"/>
                <w:sz w:val="22"/>
              </w:rPr>
              <w:t>The Andersons (ANDE)</w:t>
            </w:r>
          </w:p>
        </w:tc>
        <w:tc>
          <w:tcPr>
            <w:tcW w:type="dxa" w:w="1728"/>
          </w:tcPr>
          <w:p>
            <w:r>
              <w:rPr>
                <w:rFonts w:ascii="Calibri" w:hAnsi="Calibri"/>
                <w:sz w:val="22"/>
              </w:rPr>
              <w:t>August 3, 2026</w:t>
            </w:r>
          </w:p>
        </w:tc>
        <w:tc>
          <w:tcPr>
            <w:tcW w:type="dxa" w:w="1728"/>
          </w:tcPr>
          <w:p>
            <w:r>
              <w:rPr>
                <w:rFonts w:ascii="Calibri" w:hAnsi="Calibri"/>
                <w:sz w:val="22"/>
              </w:rPr>
              <w:t>Ag Services, Carb Solutions</w:t>
            </w:r>
          </w:p>
        </w:tc>
        <w:tc>
          <w:tcPr>
            <w:tcW w:type="dxa" w:w="1728"/>
          </w:tcPr>
          <w:p>
            <w:r>
              <w:rPr>
                <w:rFonts w:ascii="Calibri" w:hAnsi="Calibri"/>
                <w:b/>
                <w:color w:val="002FA7"/>
                <w:sz w:val="22"/>
              </w:rPr>
              <w:t>Inconclusive</w:t>
            </w:r>
          </w:p>
        </w:tc>
        <w:tc>
          <w:tcPr>
            <w:tcW w:type="dxa" w:w="1728"/>
          </w:tcPr>
          <w:p>
            <w:r>
              <w:rPr>
                <w:rFonts w:ascii="Calibri" w:hAnsi="Calibri"/>
                <w:sz w:val="22"/>
              </w:rPr>
              <w:t>Earnings filed today; detailed results not yet available for analysis</w:t>
            </w:r>
          </w:p>
        </w:tc>
      </w:tr>
    </w:tbl>
    <w:p>
      <w:r>
        <w:br w:type="page"/>
      </w:r>
    </w:p>
    <w:p>
      <w:pPr>
        <w:pStyle w:val="Heading1"/>
        <w:pBdr>
          <w:bottom w:val="single" w:sz="4" w:space="1" w:color="FB9120"/>
        </w:pBdr>
      </w:pPr>
      <w:r>
        <w:rPr>
          <w:rFonts w:ascii="Calibri" w:hAnsi="Calibri"/>
          <w:b/>
          <w:color w:val="3B4259"/>
          <w:sz w:val="40"/>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the Q1 print is the </w:t>
      </w:r>
      <w:r>
        <w:rPr>
          <w:rFonts w:ascii="Calibri" w:hAnsi="Calibri"/>
          <w:b/>
          <w:color w:val="525866"/>
          <w:sz w:val="22"/>
        </w:rPr>
        <w:t>appointment of Jeff Rowe as EVP &amp; COO</w:t>
      </w:r>
      <w:r>
        <w:rPr>
          <w:rFonts w:ascii="Calibri" w:hAnsi="Calibri"/>
          <w:color w:val="525866"/>
          <w:sz w:val="22"/>
        </w:rPr>
        <w:t xml:space="preserve"> (effective August 17), signaling a deliberate push toward operational excellence and innovation — a positive for execution credibility heading into the print. The broader macro backdrop (tariff uncertainty, China trade dynamics) remains a watch item but has not materially worsened since Q1.</w:t>
      </w:r>
    </w:p>
    <w:p>
      <w:pPr>
        <w:pStyle w:val="ListBullet"/>
        <w:ind w:left="360" w:hanging="360"/>
      </w:pPr>
      <w:r>
        <w:rPr>
          <w:rFonts w:ascii="Calibri" w:hAnsi="Calibri"/>
          <w:b/>
          <w:color w:val="525866"/>
          <w:sz w:val="22"/>
        </w:rPr>
        <w:t>July 23, 2026 — ADM Appoints Jeff Rowe as EVP &amp; COO (effective August 17, 2026):</w:t>
      </w:r>
      <w:r>
        <w:rPr>
          <w:rFonts w:ascii="Calibri" w:hAnsi="Calibri"/>
          <w:color w:val="525866"/>
          <w:sz w:val="22"/>
        </w:rPr>
        <w:t xml:space="preserve"> Rowe joins from Syngenta Group, where he served as CEO since January 2024. He will oversee ADM’s commercial businesses, global manufacturing, and R&amp;D, reporting to CEO Juan Luciano. Rowe brings 30+ years of agricultural industry experience (DuPont Pioneer, Syngenta) and is a fifth-generation farmer. </w:t>
      </w:r>
      <w:r>
        <w:rPr>
          <w:rFonts w:ascii="Calibri" w:hAnsi="Calibri"/>
          <w:b/>
          <w:color w:val="525866"/>
          <w:sz w:val="22"/>
        </w:rPr>
        <w:t>Implication:</w:t>
      </w:r>
      <w:r>
        <w:rPr>
          <w:rFonts w:ascii="Calibri" w:hAnsi="Calibri"/>
          <w:color w:val="525866"/>
          <w:sz w:val="22"/>
        </w:rPr>
        <w:t xml:space="preserve"> The creation of a new COO role signals ADM is prioritizing operational discipline and execution — a positive signal for investors focused on the self-help agenda and cost savings delivery. Rowe’s background in AI-powered innovation and sustainable farming aligns with ADM’s decarbonization and precision fermentation growth platforms.</w:t>
      </w:r>
    </w:p>
    <w:p>
      <w:pPr>
        <w:pStyle w:val="ListBullet"/>
        <w:ind w:left="360" w:hanging="360"/>
      </w:pPr>
      <w:r>
        <w:rPr>
          <w:rFonts w:ascii="Calibri" w:hAnsi="Calibri"/>
          <w:b/>
          <w:color w:val="525866"/>
          <w:sz w:val="22"/>
        </w:rPr>
        <w:t>July 29, 2026 — Bunge (BG) Raises FY2026 EPS Guidance:</w:t>
      </w:r>
      <w:r>
        <w:rPr>
          <w:rFonts w:ascii="Calibri" w:hAnsi="Calibri"/>
          <w:color w:val="525866"/>
          <w:sz w:val="22"/>
        </w:rPr>
        <w:t xml:space="preserve"> Bunge raised its annual adjusted EPS outlook to $9.25–$9.75 (from $9.00–$9.50) after Q2 revenue jumped 88% YoY, driven by strong soybean and softseed processing performance. </w:t>
      </w:r>
      <w:r>
        <w:rPr>
          <w:rFonts w:ascii="Calibri" w:hAnsi="Calibri"/>
          <w:b/>
          <w:color w:val="525866"/>
          <w:sz w:val="22"/>
        </w:rPr>
        <w:t>Implication:</w:t>
      </w:r>
      <w:r>
        <w:rPr>
          <w:rFonts w:ascii="Calibri" w:hAnsi="Calibri"/>
          <w:color w:val="525866"/>
          <w:sz w:val="22"/>
        </w:rPr>
        <w:t xml:space="preserve"> A direct positive read-through for ADM’s Crushing segment — confirms the RVO-driven crush margin improvement is real and broad-based, not company-specific.</w:t>
      </w:r>
    </w:p>
    <w:p>
      <w:pPr>
        <w:pStyle w:val="ListBullet"/>
        <w:ind w:left="360" w:hanging="360"/>
      </w:pPr>
      <w:r>
        <w:rPr>
          <w:rFonts w:ascii="Calibri" w:hAnsi="Calibri"/>
          <w:b/>
          <w:color w:val="525866"/>
          <w:sz w:val="22"/>
        </w:rPr>
        <w:t>July 30, 2026 — Darling Ingredients (DAR) Reports Outstanding Q2 Renewable Diesel Results:</w:t>
      </w:r>
      <w:r>
        <w:rPr>
          <w:rFonts w:ascii="Calibri" w:hAnsi="Calibri"/>
          <w:color w:val="525866"/>
          <w:sz w:val="22"/>
        </w:rPr>
        <w:t xml:space="preserve"> DGD EBITDA of $389M in Q2 2026 vs. $43M in Q2 2025; $2.23/gallon EBITDA on 350M gallons sold. Management cited an "attractive margin environment for the foreseeable future" supported by RVO clarity through 2027. </w:t>
      </w:r>
      <w:r>
        <w:rPr>
          <w:rFonts w:ascii="Calibri" w:hAnsi="Calibri"/>
          <w:b/>
          <w:color w:val="525866"/>
          <w:sz w:val="22"/>
        </w:rPr>
        <w:t>Implication:</w:t>
      </w:r>
      <w:r>
        <w:rPr>
          <w:rFonts w:ascii="Calibri" w:hAnsi="Calibri"/>
          <w:color w:val="525866"/>
          <w:sz w:val="22"/>
        </w:rPr>
        <w:t xml:space="preserve"> Confirms the biofuels policy tailwind is translating into real margin improvement for renewable fuels producers and feedstock suppliers — directly supportive of ADM’s ethanol and soybean oil businesses.</w:t>
      </w:r>
    </w:p>
    <w:p>
      <w:pPr>
        <w:pStyle w:val="ListBullet"/>
        <w:ind w:left="360" w:hanging="360"/>
      </w:pPr>
      <w:r>
        <w:rPr>
          <w:rFonts w:ascii="Calibri" w:hAnsi="Calibri"/>
          <w:b/>
          <w:color w:val="525866"/>
          <w:sz w:val="22"/>
        </w:rPr>
        <w:t>August 3, 2026 — The Andersons (ANDE) Reports Q2 2026 Earnings:</w:t>
      </w:r>
      <w:r>
        <w:rPr>
          <w:rFonts w:ascii="Calibri" w:hAnsi="Calibri"/>
          <w:color w:val="525866"/>
          <w:sz w:val="22"/>
        </w:rPr>
        <w:t xml:space="preserve"> ANDE filed its Q2 2026 earnings 8-K today. Detailed results not yet available. </w:t>
      </w:r>
      <w:r>
        <w:rPr>
          <w:rFonts w:ascii="Calibri" w:hAnsi="Calibri"/>
          <w:b/>
          <w:color w:val="525866"/>
          <w:sz w:val="22"/>
        </w:rPr>
        <w:t>Implication:</w:t>
      </w:r>
      <w:r>
        <w:rPr>
          <w:rFonts w:ascii="Calibri" w:hAnsi="Calibri"/>
          <w:color w:val="525866"/>
          <w:sz w:val="22"/>
        </w:rPr>
        <w:t xml:space="preserve"> Monitor for commentary on grain origination margins and ethanol economics as a same-day read-through ahead of ADM’s August 4 call.</w:t>
      </w:r>
    </w:p>
    <w:p>
      <w:pPr>
        <w:pStyle w:val="ListBullet"/>
        <w:ind w:left="360" w:hanging="360"/>
      </w:pPr>
      <w:r>
        <w:rPr>
          <w:rFonts w:ascii="Calibri" w:hAnsi="Calibri"/>
          <w:b/>
          <w:color w:val="525866"/>
          <w:sz w:val="22"/>
        </w:rPr>
        <w:t>July 24–August 3, 2026 — Ongoing Tariff Uncertainty:</w:t>
      </w:r>
      <w:r>
        <w:rPr>
          <w:rFonts w:ascii="Calibri" w:hAnsi="Calibri"/>
          <w:color w:val="525866"/>
          <w:sz w:val="22"/>
        </w:rPr>
        <w:t xml:space="preserve"> New Section 301 tariffs of 10–12.5% on imports from 60+ trading partners took effect July 24, replacing the expired temporary 10% global tariff. Democratic-led states filed suit to block the tariffs. </w:t>
      </w:r>
      <w:r>
        <w:rPr>
          <w:rFonts w:ascii="Calibri" w:hAnsi="Calibri"/>
          <w:b/>
          <w:color w:val="525866"/>
          <w:sz w:val="22"/>
        </w:rPr>
        <w:t>Implication:</w:t>
      </w:r>
      <w:r>
        <w:rPr>
          <w:rFonts w:ascii="Calibri" w:hAnsi="Calibri"/>
          <w:color w:val="525866"/>
          <w:sz w:val="22"/>
        </w:rPr>
        <w:t xml:space="preserve"> Tariff uncertainty remains a macro overhang for agricultural trade flows, particularly for China soybean buying patterns. ADM management assumed normalized China buying in its Q2 guidance — any disruption to that assumption is a downside risk.</w:t>
      </w:r>
    </w:p>
    <w:p>
      <w:pPr>
        <w:pStyle w:val="ListBullet"/>
        <w:ind w:left="360" w:hanging="360"/>
      </w:pPr>
      <w:r>
        <w:rPr>
          <w:rFonts w:ascii="Calibri" w:hAnsi="Calibri"/>
          <w:b/>
          <w:color w:val="525866"/>
          <w:sz w:val="22"/>
        </w:rPr>
        <w:t>June 8, 2026 — Ingredion (INGR) Acquires Tate &amp; Lyle for $3.6B:</w:t>
      </w:r>
      <w:r>
        <w:rPr>
          <w:rFonts w:ascii="Calibri" w:hAnsi="Calibri"/>
          <w:color w:val="525866"/>
          <w:sz w:val="22"/>
        </w:rPr>
        <w:t xml:space="preserve"> Ingredion announced the acquisition of Tate &amp; Lyle, targeting $9.9B in combined annual revenue and expanding its "better-for-you" food ingredients business. Shareholder vote cleared July 28, 2026. </w:t>
      </w:r>
      <w:r>
        <w:rPr>
          <w:rFonts w:ascii="Calibri" w:hAnsi="Calibri"/>
          <w:b/>
          <w:color w:val="525866"/>
          <w:sz w:val="22"/>
        </w:rPr>
        <w:t>Implication:</w:t>
      </w:r>
      <w:r>
        <w:rPr>
          <w:rFonts w:ascii="Calibri" w:hAnsi="Calibri"/>
          <w:color w:val="525866"/>
          <w:sz w:val="22"/>
        </w:rPr>
        <w:t xml:space="preserve"> Creates a larger, more formidable competitor in the specialty food ingredients space where ADM’s Nutrition segment competes. Medium-term competitive watch item, not an immediate Q2 earnings driver.</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No open-market insider purchases or discretionary sales were identified for ADM in the period since the Q1 2026 earnings call (May 5, 2026 through August 3, 2026). The absence of insider selling ahead of a materially raised guidance print is a mild positive signal — insiders are not using the stock’s 44% twelve-month rally as an exit opportunity.</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i/>
                <w:sz w:val="22"/>
              </w:rPr>
              <w:t>No open-market transactions identified</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No Form 4 open-market buys (code P) or discretionary sales (code S) filed for ADM in the post-Q1 window</w:t>
            </w:r>
          </w:p>
        </w:tc>
      </w:tr>
    </w:tbl>
    <w:p>
      <w:r>
        <w:br w:type="page"/>
      </w:r>
    </w:p>
    <w:p>
      <w:pPr>
        <w:pStyle w:val="Heading1"/>
        <w:pBdr>
          <w:bottom w:val="single" w:sz="4" w:space="1" w:color="FB9120"/>
        </w:pBdr>
      </w:pPr>
      <w:r>
        <w:rPr>
          <w:rFonts w:ascii="Calibri" w:hAnsi="Calibri"/>
          <w:b/>
          <w:color w:val="3B4259"/>
          <w:sz w:val="40"/>
        </w:rPr>
        <w:t>9. Key Risks &amp; Earnings Questions</w:t>
      </w:r>
    </w:p>
    <w:p>
      <w:r>
        <w:rPr>
          <w:rFonts w:ascii="Calibri" w:hAnsi="Calibri"/>
          <w:b/>
          <w:color w:val="525866"/>
          <w:sz w:val="22"/>
        </w:rPr>
        <w:t xml:space="preserve">Key Takeaway: </w:t>
      </w:r>
      <w:r>
        <w:rPr>
          <w:rFonts w:ascii="Calibri" w:hAnsi="Calibri"/>
          <w:color w:val="525866"/>
          <w:sz w:val="22"/>
        </w:rPr>
        <w:t>The primary risk into the print is that the mark-to-market reversal is smaller than guided, or that realized crush margins disappoint relative to the constructive board crush environment — either outcome would undercut the consensus EPS of $1.44 and likely pressure the stock given the 44% twelve-month rally already priced in.</w:t>
      </w:r>
    </w:p>
    <w:p>
      <w:pPr>
        <w:pStyle w:val="Heading2"/>
      </w:pPr>
      <w:r>
        <w:rPr>
          <w:rFonts w:ascii="Calibri" w:hAnsi="Calibri"/>
          <w:b/>
          <w:color w:val="3B4259"/>
          <w:sz w:val="28"/>
        </w:rPr>
        <w:t>Key Risks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Risk</w:t>
            </w:r>
          </w:p>
        </w:tc>
        <w:tc>
          <w:tcPr>
            <w:tcW w:type="dxa" w:w="2160"/>
            <w:shd w:val="clear" w:color="auto" w:fill="3B4259"/>
          </w:tcPr>
          <w:p>
            <w:r>
              <w:rPr>
                <w:rFonts w:ascii="Calibri" w:hAnsi="Calibri"/>
                <w:b/>
                <w:color w:val="FFFFFF"/>
                <w:sz w:val="22"/>
              </w:rPr>
              <w:t>Description</w:t>
            </w:r>
          </w:p>
        </w:tc>
        <w:tc>
          <w:tcPr>
            <w:tcW w:type="dxa" w:w="2160"/>
            <w:shd w:val="clear" w:color="auto" w:fill="3B4259"/>
          </w:tcPr>
          <w:p>
            <w:r>
              <w:rPr>
                <w:rFonts w:ascii="Calibri" w:hAnsi="Calibri"/>
                <w:b/>
                <w:color w:val="FFFFFF"/>
                <w:sz w:val="22"/>
              </w:rPr>
              <w:t>Direction</w:t>
            </w:r>
          </w:p>
        </w:tc>
        <w:tc>
          <w:tcPr>
            <w:tcW w:type="dxa" w:w="2160"/>
            <w:shd w:val="clear" w:color="auto" w:fill="3B4259"/>
          </w:tcPr>
          <w:p>
            <w:r>
              <w:rPr>
                <w:rFonts w:ascii="Calibri" w:hAnsi="Calibri"/>
                <w:b/>
                <w:color w:val="FFFFFF"/>
                <w:sz w:val="22"/>
              </w:rPr>
              <w:t>Probability</w:t>
            </w:r>
          </w:p>
        </w:tc>
      </w:tr>
      <w:tr>
        <w:tc>
          <w:tcPr>
            <w:tcW w:type="dxa" w:w="2160"/>
          </w:tcPr>
          <w:p>
            <w:r>
              <w:rPr>
                <w:rFonts w:ascii="Calibri" w:hAnsi="Calibri"/>
                <w:sz w:val="22"/>
              </w:rPr>
              <w:t>Mark-to-Market Reversal Shortfall</w:t>
            </w:r>
          </w:p>
        </w:tc>
        <w:tc>
          <w:tcPr>
            <w:tcW w:type="dxa" w:w="2160"/>
          </w:tcPr>
          <w:p>
            <w:r>
              <w:rPr>
                <w:rFonts w:ascii="Calibri" w:hAnsi="Calibri"/>
                <w:sz w:val="22"/>
              </w:rPr>
              <w:t>Management guided that the majority of the $275M Q1 MTM drag would reverse in Q2. If commodity price movements in Q2 resulted in a smaller reversal, or new negative MTM impacts, the EPS beat thesis collapses. This is the single largest binary risk.</w:t>
            </w:r>
          </w:p>
        </w:tc>
        <w:tc>
          <w:tcPr>
            <w:tcW w:type="dxa" w:w="2160"/>
          </w:tcPr>
          <w:p>
            <w:r>
              <w:rPr>
                <w:rFonts w:ascii="Calibri" w:hAnsi="Calibri"/>
                <w:b/>
                <w:color w:val="E5484D"/>
                <w:sz w:val="22"/>
              </w:rPr>
              <w:t>Downside</w:t>
            </w:r>
          </w:p>
        </w:tc>
        <w:tc>
          <w:tcPr>
            <w:tcW w:type="dxa" w:w="2160"/>
          </w:tcPr>
          <w:p>
            <w:r>
              <w:rPr>
                <w:rFonts w:ascii="Calibri" w:hAnsi="Calibri"/>
                <w:sz w:val="22"/>
              </w:rPr>
              <w:t>Medium</w:t>
            </w:r>
          </w:p>
        </w:tc>
      </w:tr>
      <w:tr>
        <w:tc>
          <w:tcPr>
            <w:tcW w:type="dxa" w:w="2160"/>
          </w:tcPr>
          <w:p>
            <w:r>
              <w:rPr>
                <w:rFonts w:ascii="Calibri" w:hAnsi="Calibri"/>
                <w:sz w:val="22"/>
              </w:rPr>
              <w:t>Crush Margin Realization vs. Board Crush</w:t>
            </w:r>
          </w:p>
        </w:tc>
        <w:tc>
          <w:tcPr>
            <w:tcW w:type="dxa" w:w="2160"/>
          </w:tcPr>
          <w:p>
            <w:r>
              <w:rPr>
                <w:rFonts w:ascii="Calibri" w:hAnsi="Calibri"/>
                <w:sz w:val="22"/>
              </w:rPr>
              <w:t>Management previously explained a divergence between board crush and realized cash margins due to weaker product basis levels (meal and soybean oil). If basis levels did not converge in Q2, realized margins may disappoint even if board crush was constructive.</w:t>
            </w:r>
          </w:p>
        </w:tc>
        <w:tc>
          <w:tcPr>
            <w:tcW w:type="dxa" w:w="2160"/>
          </w:tcPr>
          <w:p>
            <w:r>
              <w:rPr>
                <w:rFonts w:ascii="Calibri" w:hAnsi="Calibri"/>
                <w:b/>
                <w:color w:val="E5484D"/>
                <w:sz w:val="22"/>
              </w:rPr>
              <w:t>Downside</w:t>
            </w:r>
          </w:p>
        </w:tc>
        <w:tc>
          <w:tcPr>
            <w:tcW w:type="dxa" w:w="2160"/>
          </w:tcPr>
          <w:p>
            <w:r>
              <w:rPr>
                <w:rFonts w:ascii="Calibri" w:hAnsi="Calibri"/>
                <w:sz w:val="22"/>
              </w:rPr>
              <w:t>Medium</w:t>
            </w:r>
          </w:p>
        </w:tc>
      </w:tr>
      <w:tr>
        <w:tc>
          <w:tcPr>
            <w:tcW w:type="dxa" w:w="2160"/>
          </w:tcPr>
          <w:p>
            <w:r>
              <w:rPr>
                <w:rFonts w:ascii="Calibri" w:hAnsi="Calibri"/>
                <w:sz w:val="22"/>
              </w:rPr>
              <w:t>China Soybean Buying Normalization</w:t>
            </w:r>
          </w:p>
        </w:tc>
        <w:tc>
          <w:tcPr>
            <w:tcW w:type="dxa" w:w="2160"/>
          </w:tcPr>
          <w:p>
            <w:r>
              <w:rPr>
                <w:rFonts w:ascii="Calibri" w:hAnsi="Calibri"/>
                <w:sz w:val="22"/>
              </w:rPr>
              <w:t>ADM’s Q2 guidance assumed normalized China buying of North American soybeans. Ongoing tariff uncertainty and trade tensions could disrupt this assumption, pressuring Ag Services volumes and margins.</w:t>
            </w:r>
          </w:p>
        </w:tc>
        <w:tc>
          <w:tcPr>
            <w:tcW w:type="dxa" w:w="2160"/>
          </w:tcPr>
          <w:p>
            <w:r>
              <w:rPr>
                <w:rFonts w:ascii="Calibri" w:hAnsi="Calibri"/>
                <w:b/>
                <w:color w:val="E5484D"/>
                <w:sz w:val="22"/>
              </w:rPr>
              <w:t>Downside</w:t>
            </w:r>
          </w:p>
        </w:tc>
        <w:tc>
          <w:tcPr>
            <w:tcW w:type="dxa" w:w="2160"/>
          </w:tcPr>
          <w:p>
            <w:r>
              <w:rPr>
                <w:rFonts w:ascii="Calibri" w:hAnsi="Calibri"/>
                <w:sz w:val="22"/>
              </w:rPr>
              <w:t>Low-Medium</w:t>
            </w:r>
          </w:p>
        </w:tc>
      </w:tr>
      <w:tr>
        <w:tc>
          <w:tcPr>
            <w:tcW w:type="dxa" w:w="2160"/>
          </w:tcPr>
          <w:p>
            <w:r>
              <w:rPr>
                <w:rFonts w:ascii="Calibri" w:hAnsi="Calibri"/>
                <w:sz w:val="22"/>
              </w:rPr>
              <w:t>Starches &amp; Sweeteners Demand Weakness</w:t>
            </w:r>
          </w:p>
        </w:tc>
        <w:tc>
          <w:tcPr>
            <w:tcW w:type="dxa" w:w="2160"/>
          </w:tcPr>
          <w:p>
            <w:r>
              <w:rPr>
                <w:rFonts w:ascii="Calibri" w:hAnsi="Calibri"/>
                <w:sz w:val="22"/>
              </w:rPr>
              <w:t>Consumer behavior trends pressuring S&amp;S volumes and margins have persisted since 2025. If the weakness deepened in Q2, it could offset ethanol strength within Carbohydrate Solutions.</w:t>
            </w:r>
          </w:p>
        </w:tc>
        <w:tc>
          <w:tcPr>
            <w:tcW w:type="dxa" w:w="2160"/>
          </w:tcPr>
          <w:p>
            <w:r>
              <w:rPr>
                <w:rFonts w:ascii="Calibri" w:hAnsi="Calibri"/>
                <w:b/>
                <w:color w:val="E5484D"/>
                <w:sz w:val="22"/>
              </w:rPr>
              <w:t>Downside</w:t>
            </w:r>
          </w:p>
        </w:tc>
        <w:tc>
          <w:tcPr>
            <w:tcW w:type="dxa" w:w="2160"/>
          </w:tcPr>
          <w:p>
            <w:r>
              <w:rPr>
                <w:rFonts w:ascii="Calibri" w:hAnsi="Calibri"/>
                <w:sz w:val="22"/>
              </w:rPr>
              <w:t>Low-Medium</w:t>
            </w:r>
          </w:p>
        </w:tc>
      </w:tr>
      <w:tr>
        <w:tc>
          <w:tcPr>
            <w:tcW w:type="dxa" w:w="2160"/>
          </w:tcPr>
          <w:p>
            <w:r>
              <w:rPr>
                <w:rFonts w:ascii="Calibri" w:hAnsi="Calibri"/>
                <w:sz w:val="22"/>
              </w:rPr>
              <w:t>Decatur East Recovery Pace</w:t>
            </w:r>
          </w:p>
        </w:tc>
        <w:tc>
          <w:tcPr>
            <w:tcW w:type="dxa" w:w="2160"/>
          </w:tcPr>
          <w:p>
            <w:r>
              <w:rPr>
                <w:rFonts w:ascii="Calibri" w:hAnsi="Calibri"/>
                <w:sz w:val="22"/>
              </w:rPr>
              <w:t>While the plant is fully operational, customer recovery is acknowledged as incomplete. If Flavors volumes disappointed in Q2, Nutrition could miss the $147M consensus.</w:t>
            </w:r>
          </w:p>
        </w:tc>
        <w:tc>
          <w:tcPr>
            <w:tcW w:type="dxa" w:w="2160"/>
          </w:tcPr>
          <w:p>
            <w:r>
              <w:rPr>
                <w:rFonts w:ascii="Calibri" w:hAnsi="Calibri"/>
                <w:b/>
                <w:color w:val="E5484D"/>
                <w:sz w:val="22"/>
              </w:rPr>
              <w:t>Downside</w:t>
            </w:r>
          </w:p>
        </w:tc>
        <w:tc>
          <w:tcPr>
            <w:tcW w:type="dxa" w:w="2160"/>
          </w:tcPr>
          <w:p>
            <w:r>
              <w:rPr>
                <w:rFonts w:ascii="Calibri" w:hAnsi="Calibri"/>
                <w:sz w:val="22"/>
              </w:rPr>
              <w:t>Low</w:t>
            </w:r>
          </w:p>
        </w:tc>
      </w:tr>
      <w:tr>
        <w:tc>
          <w:tcPr>
            <w:tcW w:type="dxa" w:w="2160"/>
          </w:tcPr>
          <w:p>
            <w:r>
              <w:rPr>
                <w:rFonts w:ascii="Calibri" w:hAnsi="Calibri"/>
                <w:sz w:val="22"/>
              </w:rPr>
              <w:t>Upside: Ethanol / 45Z Outperformance</w:t>
            </w:r>
          </w:p>
        </w:tc>
        <w:tc>
          <w:tcPr>
            <w:tcW w:type="dxa" w:w="2160"/>
          </w:tcPr>
          <w:p>
            <w:r>
              <w:rPr>
                <w:rFonts w:ascii="Calibri" w:hAnsi="Calibri"/>
                <w:sz w:val="22"/>
              </w:rPr>
              <w:t>If ethanol margins exceeded expectations (DAR’s DGD results suggest a very strong biofuels environment in Q2), Carbohydrate Solutions could beat the $354M consensus. The 45Z benefit of ~$150M for FY2026 could also be front-loaded.</w:t>
            </w:r>
          </w:p>
        </w:tc>
        <w:tc>
          <w:tcPr>
            <w:tcW w:type="dxa" w:w="2160"/>
          </w:tcPr>
          <w:p>
            <w:r>
              <w:rPr>
                <w:rFonts w:ascii="Calibri" w:hAnsi="Calibri"/>
                <w:b/>
                <w:color w:val="30A46C"/>
                <w:sz w:val="22"/>
              </w:rPr>
              <w:t>Upside</w:t>
            </w:r>
          </w:p>
        </w:tc>
        <w:tc>
          <w:tcPr>
            <w:tcW w:type="dxa" w:w="2160"/>
          </w:tcPr>
          <w:p>
            <w:r>
              <w:rPr>
                <w:rFonts w:ascii="Calibri" w:hAnsi="Calibri"/>
                <w:sz w:val="22"/>
              </w:rPr>
              <w:t>Medium</w:t>
            </w:r>
          </w:p>
        </w:tc>
      </w:tr>
      <w:tr>
        <w:tc>
          <w:tcPr>
            <w:tcW w:type="dxa" w:w="2160"/>
          </w:tcPr>
          <w:p>
            <w:r>
              <w:rPr>
                <w:rFonts w:ascii="Calibri" w:hAnsi="Calibri"/>
                <w:sz w:val="22"/>
              </w:rPr>
              <w:t>Upside: Nutrition Seasonal Beat</w:t>
            </w:r>
          </w:p>
        </w:tc>
        <w:tc>
          <w:tcPr>
            <w:tcW w:type="dxa" w:w="2160"/>
          </w:tcPr>
          <w:p>
            <w:r>
              <w:rPr>
                <w:rFonts w:ascii="Calibri" w:hAnsi="Calibri"/>
                <w:sz w:val="22"/>
              </w:rPr>
              <w:t>Q2 is seasonally the strongest quarter for Flavors. If Decatur East customer recovery accelerated faster than expected, Nutrition could beat the $147M consensus.</w:t>
            </w:r>
          </w:p>
        </w:tc>
        <w:tc>
          <w:tcPr>
            <w:tcW w:type="dxa" w:w="2160"/>
          </w:tcPr>
          <w:p>
            <w:r>
              <w:rPr>
                <w:rFonts w:ascii="Calibri" w:hAnsi="Calibri"/>
                <w:b/>
                <w:color w:val="30A46C"/>
                <w:sz w:val="22"/>
              </w:rPr>
              <w:t>Upside</w:t>
            </w:r>
          </w:p>
        </w:tc>
        <w:tc>
          <w:tcPr>
            <w:tcW w:type="dxa" w:w="2160"/>
          </w:tcPr>
          <w:p>
            <w:r>
              <w:rPr>
                <w:rFonts w:ascii="Calibri" w:hAnsi="Calibri"/>
                <w:sz w:val="22"/>
              </w:rPr>
              <w:t>Low-Medium</w:t>
            </w:r>
          </w:p>
        </w:tc>
      </w:tr>
    </w:tbl>
    <w:p>
      <w:pPr>
        <w:pStyle w:val="Heading2"/>
      </w:pPr>
      <w:r>
        <w:rPr>
          <w:rFonts w:ascii="Calibri" w:hAnsi="Calibri"/>
          <w:b/>
          <w:color w:val="3B4259"/>
          <w:sz w:val="28"/>
        </w:rPr>
        <w:t>Key Questions for Management on the Q2 2026 Call</w:t>
      </w:r>
    </w:p>
    <w:p>
      <w:pPr>
        <w:pStyle w:val="ListNumber"/>
        <w:ind w:left="360" w:hanging="360"/>
      </w:pPr>
      <w:r>
        <w:rPr>
          <w:rFonts w:ascii="Calibri" w:hAnsi="Calibri"/>
          <w:b/>
          <w:color w:val="525866"/>
          <w:sz w:val="22"/>
        </w:rPr>
        <w:t>Mark-to-Market Reversal:</w:t>
      </w:r>
      <w:r>
        <w:rPr>
          <w:rFonts w:ascii="Calibri" w:hAnsi="Calibri"/>
          <w:color w:val="525866"/>
          <w:sz w:val="22"/>
        </w:rPr>
        <w:t xml:space="preserve"> Can you confirm the magnitude of the MTM reversal that occurred in Q2? Was it in line with the "majority of $275M" guidance, and what is the remaining balance expected to reverse in H2?</w:t>
      </w:r>
    </w:p>
    <w:p>
      <w:pPr>
        <w:pStyle w:val="ListNumber"/>
        <w:ind w:left="360" w:hanging="360"/>
      </w:pPr>
      <w:r>
        <w:rPr>
          <w:rFonts w:ascii="Calibri" w:hAnsi="Calibri"/>
          <w:b/>
          <w:color w:val="525866"/>
          <w:sz w:val="22"/>
        </w:rPr>
        <w:t>Crush Margin Realization:</w:t>
      </w:r>
      <w:r>
        <w:rPr>
          <w:rFonts w:ascii="Calibri" w:hAnsi="Calibri"/>
          <w:color w:val="525866"/>
          <w:sz w:val="22"/>
        </w:rPr>
        <w:t xml:space="preserve"> How did realized cash crush margins in Q2 compare to board crush? Has the basis divergence (meal and soybean oil basis vs. bean basis) that you described in Q1 begun to converge, and what is your outlook for H2?</w:t>
      </w:r>
    </w:p>
    <w:p>
      <w:pPr>
        <w:pStyle w:val="ListNumber"/>
        <w:ind w:left="360" w:hanging="360"/>
      </w:pPr>
      <w:r>
        <w:rPr>
          <w:rFonts w:ascii="Calibri" w:hAnsi="Calibri"/>
          <w:b/>
          <w:color w:val="525866"/>
          <w:sz w:val="22"/>
        </w:rPr>
        <w:t>Ethanol &amp; 45Z:</w:t>
      </w:r>
      <w:r>
        <w:rPr>
          <w:rFonts w:ascii="Calibri" w:hAnsi="Calibri"/>
          <w:color w:val="525866"/>
          <w:sz w:val="22"/>
        </w:rPr>
        <w:t xml:space="preserve"> How did ethanol margins track in Q2 relative to Q1? Is the $150M full-year 45Z benefit still the right estimate, and how is it distributed between H1 and H2?</w:t>
      </w:r>
    </w:p>
    <w:p>
      <w:pPr>
        <w:pStyle w:val="ListNumber"/>
        <w:ind w:left="360" w:hanging="360"/>
      </w:pPr>
      <w:r>
        <w:rPr>
          <w:rFonts w:ascii="Calibri" w:hAnsi="Calibri"/>
          <w:b/>
          <w:color w:val="525866"/>
          <w:sz w:val="22"/>
        </w:rPr>
        <w:t>China Trade &amp; Ag Services:</w:t>
      </w:r>
      <w:r>
        <w:rPr>
          <w:rFonts w:ascii="Calibri" w:hAnsi="Calibri"/>
          <w:color w:val="525866"/>
          <w:sz w:val="22"/>
        </w:rPr>
        <w:t xml:space="preserve"> Did China soybean buying normalize as assumed in your Q2 guidance? How are you thinking about the impact of the new Section 301 tariffs (effective July 24) on North American agricultural export flows in H2?</w:t>
      </w:r>
    </w:p>
    <w:p>
      <w:pPr>
        <w:pStyle w:val="ListNumber"/>
        <w:ind w:left="360" w:hanging="360"/>
      </w:pPr>
      <w:r>
        <w:rPr>
          <w:rFonts w:ascii="Calibri" w:hAnsi="Calibri"/>
          <w:b/>
          <w:color w:val="525866"/>
          <w:sz w:val="22"/>
        </w:rPr>
        <w:t>Nutrition Recovery:</w:t>
      </w:r>
      <w:r>
        <w:rPr>
          <w:rFonts w:ascii="Calibri" w:hAnsi="Calibri"/>
          <w:color w:val="525866"/>
          <w:sz w:val="22"/>
        </w:rPr>
        <w:t xml:space="preserve"> How did Decatur East customer recovery progress in Q2? Are you seeing the expected seasonal Flavors strength, and what is the trajectory for full customer re-engagement?</w:t>
      </w:r>
    </w:p>
    <w:p>
      <w:pPr>
        <w:pStyle w:val="ListNumber"/>
        <w:ind w:left="360" w:hanging="360"/>
      </w:pPr>
      <w:r>
        <w:rPr>
          <w:rFonts w:ascii="Calibri" w:hAnsi="Calibri"/>
          <w:b/>
          <w:color w:val="525866"/>
          <w:sz w:val="22"/>
        </w:rPr>
        <w:t>FY2026 Guidance Confidence:</w:t>
      </w:r>
      <w:r>
        <w:rPr>
          <w:rFonts w:ascii="Calibri" w:hAnsi="Calibri"/>
          <w:color w:val="525866"/>
          <w:sz w:val="22"/>
        </w:rPr>
        <w:t xml:space="preserve"> Given the FY2026 EPS consensus of $4.78 is running 8% above your guidance midpoint of $4.43, are you comfortable with the current street estimates, or is there a reason to narrow or update the range?</w:t>
      </w:r>
    </w:p>
    <w:p>
      <w:pPr>
        <w:pStyle w:val="ListNumber"/>
        <w:ind w:left="360" w:hanging="360"/>
      </w:pPr>
      <w:r>
        <w:rPr>
          <w:rFonts w:ascii="Calibri" w:hAnsi="Calibri"/>
          <w:b/>
          <w:color w:val="525866"/>
          <w:sz w:val="22"/>
        </w:rPr>
        <w:t>Jeff Rowe / COO Role:</w:t>
      </w:r>
      <w:r>
        <w:rPr>
          <w:rFonts w:ascii="Calibri" w:hAnsi="Calibri"/>
          <w:color w:val="525866"/>
          <w:sz w:val="22"/>
        </w:rPr>
        <w:t xml:space="preserve"> What are the immediate priorities for the new COO role, and how does this change the organizational structure and decision-making for commercial and manufacturing operations?</w:t>
      </w:r>
    </w:p>
    <w:p>
      <w:pPr>
        <w:pStyle w:val="ListNumber"/>
        <w:ind w:left="360" w:hanging="360"/>
      </w:pPr>
      <w:r>
        <w:rPr>
          <w:rFonts w:ascii="Calibri" w:hAnsi="Calibri"/>
          <w:b/>
          <w:color w:val="525866"/>
          <w:sz w:val="22"/>
        </w:rPr>
        <w:t>SRE / RVO Outlook:</w:t>
      </w:r>
      <w:r>
        <w:rPr>
          <w:rFonts w:ascii="Calibri" w:hAnsi="Calibri"/>
          <w:color w:val="525866"/>
          <w:sz w:val="22"/>
        </w:rPr>
        <w:t xml:space="preserve"> What is your current read on the Small Refinery Exemption (SRE) risk for 2026–2027 RVOs, and how are you thinking about the Set 3 biofuel policy (2028–2029) timeline?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