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fl-earnings-predictions--2026-08-06"/>
    <w:p>
      <w:pPr>
        <w:pStyle w:val="Heading1"/>
      </w:pPr>
      <w:r>
        <w:t xml:space="preserve">AFL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~$1.80 vs. cons $1.77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adjusted revenue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~$4.20B vs. cons $4.19B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Japan pretax profit margin / benefit ratio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benefit ratio ~61.5% vs. cons/guide ~62.5% (favorable, better margin ~34-35% vs ~33%)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trajectory (implicit)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guide/implied ~$7.00 vs. cons $7.07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Japan underlying earned premium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~-1% to -2% vs. cons ~-1.5%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Japan benefit ratio (FY2026 range)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60-63% vs. cons ~62%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U.S. benefit ratio (FY2026 range)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48-52% vs. cons ~49% (FY2026); Q2 likely ~48-49% normalizing up from 47.2%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return / Q2 buyback pace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1.0</m:t>
              </m:r>
              <m:r>
                <m:t>B</m:t>
              </m:r>
              <m:r>
                <m:t>r</m:t>
              </m:r>
              <m:r>
                <m:t>e</m:t>
              </m:r>
              <m:r>
                <m:t>t</m:t>
              </m:r>
              <m:r>
                <m:t>u</m:t>
              </m:r>
              <m:r>
                <m:t>r</m:t>
              </m:r>
              <m:r>
                <m:t>n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 </m:t>
              </m:r>
            </m:oMath>
            <w:r>
              <w:t xml:space="preserve">0.8-1.0B buyback +</w:t>
            </w:r>
            <w:r>
              <w:t xml:space="preserve"> </w:t>
            </w:r>
            <m:oMath>
              <m:r>
                <m:t>0.36</m:t>
              </m:r>
              <m:r>
                <m:t>d</m:t>
              </m:r>
              <m:r>
                <m:t>i</m:t>
              </m:r>
              <m:r>
                <m:t>v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1.0B (Q2'26)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Japan sales growth (yen) vs tough comp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pred ~+5-8% vs. cons ~+10% (Q2'26, lapping +23.2%)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assumption unlock / external reinsurance sizing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n/a vs. cons n/a (Q3'26 net premium ratio reset); directional read only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(FADE)</w:t>
            </w:r>
          </w:p>
        </w:tc>
        <w:tc>
          <w:tcPr/>
          <w:p>
            <w:pPr>
              <w:pStyle w:val="Compact"/>
            </w:pPr>
            <w:r>
              <w:t xml:space="preserve">Even with a modest EPS beat driven by favorable (and management-flagged transient) benefit-ratio tailwinds, the out-period math is negative: Japan underlying earned premium still shrinking (-1% to -2%), FY26 consensus (~</w:t>
            </w:r>
            <m:oMath>
              <m:r>
                <m:t>7.07</m:t>
              </m:r>
              <m:r>
                <m:rPr>
                  <m:sty m:val="p"/>
                </m:rPr>
                <m:t>)</m:t>
              </m:r>
              <m:r>
                <m:t>a</m:t>
              </m:r>
              <m:r>
                <m:t>l</m:t>
              </m:r>
              <m:r>
                <m:t>r</m:t>
              </m:r>
              <m:r>
                <m:t>e</m:t>
              </m:r>
              <m:r>
                <m:t>a</m:t>
              </m:r>
              <m:r>
                <m:t>d</m:t>
              </m:r>
              <m:r>
                <m:t>y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s</m:t>
              </m:r>
              <m:r>
                <m:t>a</m:t>
              </m:r>
              <m:r>
                <m:t> </m:t>
              </m:r>
              <m:r>
                <m:t>5.6</m:t>
              </m:r>
            </m:oMath>
            <w:r>
              <w:t xml:space="preserve">126, +14% YTD) and priced for clean execution, so a low-quality beat fades as estimates get trimmed.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2026-08-06T01:18:05Z</dcterms:created>
  <dcterms:modified xsi:type="dcterms:W3CDTF">2026-08-06T01:18:05Z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