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9" w:name="aflac-afl--q2-2026-earnings-preview"/>
    <w:p>
      <w:pPr>
        <w:pStyle w:val="Heading1"/>
      </w:pPr>
      <w:r>
        <w:t xml:space="preserve">Aflac (AFL) — Q2 2026 Earnings Preview</w:t>
      </w:r>
    </w:p>
    <w:bookmarkStart w:id="9" w:name="X3907e9558c73d48b6c22178f5783572636ad6b5"/>
    <w:p>
      <w:pPr>
        <w:pStyle w:val="Heading3"/>
      </w:pPr>
      <w:r>
        <w:t xml:space="preserve">Reports after close Aug 5 / conference call Aug 6, 2026</w:t>
      </w:r>
    </w:p>
    <w:p>
      <w:r>
        <w:pict>
          <v:rect style="width:0;height:1.5pt" o:hralign="center" o:hrstd="t" o:hr="t"/>
        </w:pict>
      </w:r>
    </w:p>
    <w:bookmarkEnd w:id="9"/>
    <w:bookmarkStart w:id="10" w:name="the-setup"/>
    <w:p>
      <w:pPr>
        <w:pStyle w:val="Heading2"/>
      </w:pPr>
      <w:r>
        <w:t xml:space="preserve">The Setup</w:t>
      </w:r>
    </w:p>
    <w:p>
      <w:pPr>
        <w:pStyle w:val="FirstParagraph"/>
      </w:pPr>
      <w:r>
        <w:t xml:space="preserve">Aflac heads into Q2 with the stock near all-time highs. AFL closed at **</w:t>
      </w:r>
      <m:oMath>
        <m:r>
          <m:t>125.59</m:t>
        </m:r>
        <m:r>
          <m:t>o</m:t>
        </m:r>
        <m:r>
          <m:t>n</m:t>
        </m:r>
        <m:r>
          <m:t>A</m:t>
        </m:r>
        <m:r>
          <m:t>u</m:t>
        </m:r>
        <m:r>
          <m:t>g</m:t>
        </m:r>
        <m:r>
          <m:t>5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u</m:t>
        </m:r>
        <m:r>
          <m:t>p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+</m:t>
        </m:r>
        <m:r>
          <m:t>14</m:t>
        </m:r>
      </m:oMath>
      <w:r>
        <w:t xml:space="preserve">110 in early January) and up about</w:t>
      </w:r>
      <w:r>
        <w:t xml:space="preserve"> </w:t>
      </w:r>
      <w:r>
        <w:rPr>
          <w:b/>
          <w:bCs/>
        </w:rPr>
        <w:t xml:space="preserve">+10%</w:t>
      </w:r>
      <w:r>
        <w:t xml:space="preserve"> </w:t>
      </w:r>
      <w:r>
        <w:t xml:space="preserve">since the Q1 report on April 30. Shares touched ~$129.55 in late July before easing slightly into the print. That run-up matters: expectations are elevated, and this is a company whose "beat" magnitudes are typically small, so the bar for a positive reaction is high.</w:t>
      </w:r>
    </w:p>
    <w:p>
      <w:pPr>
        <w:pStyle w:val="BodyText"/>
      </w:pPr>
      <w:r>
        <w:rPr>
          <w:b/>
          <w:bCs/>
        </w:rPr>
        <w:t xml:space="preserve">Consensus for Q2 2026</w:t>
      </w:r>
      <w:r>
        <w:t xml:space="preserve"> </w:t>
      </w:r>
      <w:r>
        <w:t xml:space="preserve">sits at roughly</w:t>
      </w:r>
      <w:r>
        <w:t xml:space="preserve"> </w:t>
      </w:r>
      <m:oMath>
        <m:r>
          <m:t>1.77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E</m:t>
        </m:r>
        <m:r>
          <m:t>P</m:t>
        </m:r>
        <m:r>
          <m:t>S</m:t>
        </m:r>
        <m:r>
          <m:t>o</m:t>
        </m:r>
        <m:r>
          <m:t>n</m:t>
        </m:r>
        <m:r>
          <m:t> </m:t>
        </m:r>
      </m:oMath>
      <w:r>
        <w:rPr>
          <w:b/>
          <w:bCs/>
        </w:rPr>
        <w:t xml:space="preserve">4.19B revenue</w:t>
      </w:r>
      <w:r>
        <w:t xml:space="preserve">, essentially flat versus the</w:t>
      </w:r>
      <w:r>
        <w:t xml:space="preserve"> </w:t>
      </w:r>
      <m:oMath>
        <m:r>
          <m:t>1.78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E</m:t>
        </m:r>
        <m:r>
          <m:t>P</m:t>
        </m:r>
        <m:r>
          <m:t>S</m:t>
        </m:r>
        <m:r>
          <m:t>a</m:t>
        </m:r>
        <m:r>
          <m:t>y</m:t>
        </m:r>
        <m:r>
          <m:t>e</m:t>
        </m:r>
        <m:r>
          <m:t>a</m:t>
        </m:r>
        <m:r>
          <m:t>r</m:t>
        </m:r>
        <m:r>
          <m:t>a</m:t>
        </m:r>
        <m:r>
          <m:t>g</m:t>
        </m:r>
        <m:r>
          <m:t>o</m:t>
        </m:r>
        <m:r>
          <m:rPr>
            <m:sty m:val="p"/>
          </m:rPr>
          <m:t>(</m:t>
        </m:r>
        <m:r>
          <m:t>a</m:t>
        </m:r>
        <m:r>
          <m:t> </m:t>
        </m:r>
        <m:r>
          <m:t>0.6</m:t>
        </m:r>
      </m:oMath>
      <w:r>
        <w:t xml:space="preserve">7.07**, down ~5.6% from 2025, with a rebound expected in 2027. Note Aflac's recent track record: it has beaten the EPS consensus in three of the last four quarters, but</w:t>
      </w:r>
      <w:r>
        <w:t xml:space="preserve"> </w:t>
      </w:r>
      <w:r>
        <w:rPr>
          <w:b/>
          <w:bCs/>
        </w:rPr>
        <w:t xml:space="preserve">Q1 2026 was a miss</w:t>
      </w:r>
      <w:r>
        <w:t xml:space="preserve"> </w:t>
      </w:r>
      <w:r>
        <w:t xml:space="preserve">—</w:t>
      </w:r>
      <w:r>
        <w:t xml:space="preserve"> </w:t>
      </w:r>
      <m:oMath>
        <m:r>
          <m:t>1.75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v</m:t>
        </m:r>
        <m:r>
          <m:t>s</m:t>
        </m:r>
        <m:r>
          <m:rPr>
            <m:sty m:val="p"/>
          </m:rPr>
          <m:t>.</m:t>
        </m:r>
        <m:r>
          <m:t> </m:t>
        </m:r>
      </m:oMath>
      <w:r>
        <w:t xml:space="preserve">1.80 expected (a ~2.8% negative surprise) — so investors will be watching whether the underlying trends firm up.</w:t>
      </w:r>
    </w:p>
    <w:p>
      <w:pPr>
        <w:pStyle w:val="BodyText"/>
      </w:pPr>
      <w:r>
        <w:t xml:space="preserve">A reminder on the revenue optics: the large reported YoY revenue "decline" is mostly a function of net investment gain/loss swings (derivatives/FX) that wash out of adjusted earnings. Focus on</w:t>
      </w:r>
      <w:r>
        <w:t xml:space="preserve"> </w:t>
      </w:r>
      <w:r>
        <w:rPr>
          <w:b/>
          <w:bCs/>
        </w:rPr>
        <w:t xml:space="preserve">adjusted EPS, currency-neutral segment trends, benefit ratios, and capital return</w:t>
      </w:r>
      <w:r>
        <w:t xml:space="preserve"> </w:t>
      </w:r>
      <w:r>
        <w:t xml:space="preserve">rather than the GAAP headline.</w:t>
      </w:r>
    </w:p>
    <w:p>
      <w:r>
        <w:pict>
          <v:rect style="width:0;height:1.5pt" o:hralign="center" o:hrstd="t" o:hr="t"/>
        </w:pict>
      </w:r>
    </w:p>
    <w:bookmarkEnd w:id="10"/>
    <w:bookmarkStart w:id="17" w:name="what-actually-matters-this-quarter"/>
    <w:p>
      <w:pPr>
        <w:pStyle w:val="Heading2"/>
      </w:pPr>
      <w:r>
        <w:t xml:space="preserve">What Actually Matters This Quarter</w:t>
      </w:r>
    </w:p>
    <w:bookmarkStart w:id="11" w:name="X54d48dbe253abf43935c366d8a05f2789ce5ff9"/>
    <w:p>
      <w:pPr>
        <w:pStyle w:val="Heading3"/>
      </w:pPr>
      <w:r>
        <w:t xml:space="preserve">1. Japan — Can sales momentum finally reach the earned-premium line?</w:t>
      </w:r>
    </w:p>
    <w:p>
      <w:pPr>
        <w:pStyle w:val="FirstParagraph"/>
      </w:pPr>
      <w:r>
        <w:t xml:space="preserve">This is the central Aflac debate. The marketing/sales transformation and new products have driven a genuine sales surge —</w:t>
      </w:r>
      <w:r>
        <w:t xml:space="preserve"> </w:t>
      </w:r>
      <w:r>
        <w:rPr>
          <w:b/>
          <w:bCs/>
        </w:rPr>
        <w:t xml:space="preserve">Q1 2026 Japan sales rose 25.5%</w:t>
      </w:r>
      <w:r>
        <w:t xml:space="preserve"> </w:t>
      </w:r>
      <w:r>
        <w:t xml:space="preserve">(¥17.7B), led by the new medical product</w:t>
      </w:r>
      <w:r>
        <w:t xml:space="preserve"> </w:t>
      </w:r>
      <w:r>
        <w:rPr>
          <w:b/>
          <w:bCs/>
        </w:rPr>
        <w:t xml:space="preserve">Anshin Palette</w:t>
      </w:r>
      <w:r>
        <w:t xml:space="preserve">, cancer product</w:t>
      </w:r>
      <w:r>
        <w:t xml:space="preserve"> </w:t>
      </w:r>
      <w:r>
        <w:rPr>
          <w:b/>
          <w:bCs/>
        </w:rPr>
        <w:t xml:space="preserve">Miraito</w:t>
      </w:r>
      <w:r>
        <w:t xml:space="preserve">, and first-sector</w:t>
      </w:r>
      <w:r>
        <w:t xml:space="preserve"> </w:t>
      </w:r>
      <w:r>
        <w:rPr>
          <w:b/>
          <w:bCs/>
        </w:rPr>
        <w:t xml:space="preserve">Tsumitasu</w:t>
      </w:r>
      <w:r>
        <w:t xml:space="preserve">. A year ago in Q2 2025, sales were up 23.2%.</w:t>
      </w:r>
    </w:p>
    <w:p>
      <w:pPr>
        <w:pStyle w:val="BodyText"/>
      </w:pPr>
      <w:r>
        <w:t xml:space="preserve">But</w:t>
      </w:r>
      <w:r>
        <w:t xml:space="preserve"> </w:t>
      </w:r>
      <w:r>
        <w:rPr>
          <w:b/>
          <w:bCs/>
        </w:rPr>
        <w:t xml:space="preserve">underlying earned premium is still shrinking</w:t>
      </w:r>
      <w:r>
        <w:t xml:space="preserve"> </w:t>
      </w:r>
      <w:r>
        <w:t xml:space="preserve">(down ~1.3% in Q1), because lapses and policies reaching paid-up status are running ahead of new premium. On the Q1 call, CFO Max Broden framed the math clearly: Japan needs to reach roughly</w:t>
      </w:r>
      <w:r>
        <w:t xml:space="preserve"> </w:t>
      </w:r>
      <w:r>
        <w:rPr>
          <w:b/>
          <w:bCs/>
        </w:rPr>
        <w:t xml:space="preserve">¥90B of annual sales</w:t>
      </w:r>
      <w:r>
        <w:t xml:space="preserve"> </w:t>
      </w:r>
      <w:r>
        <w:t xml:space="preserve">to hold in-force premium flat, versus ~¥74B booked in 2025. CEO Dan Amos said he'd "like ¥80 billion" for 2026 — still short of the breakeven level.</w:t>
      </w:r>
      <w:r>
        <w:t xml:space="preserve"> </w:t>
      </w:r>
      <w:r>
        <w:rPr>
          <w:b/>
          <w:bCs/>
        </w:rPr>
        <w:t xml:space="preserve">Management guides to underlying earned premium of roughly -1% to -2% for full-year 2026.</w:t>
      </w:r>
    </w:p>
    <w:p>
      <w:pPr>
        <w:pStyle w:val="BodyText"/>
      </w:pPr>
      <w:r>
        <w:rPr>
          <w:i/>
          <w:iCs/>
        </w:rPr>
        <w:t xml:space="preserve">Watch:</w:t>
      </w:r>
      <w:r>
        <w:t xml:space="preserve"> </w:t>
      </w:r>
      <w:r>
        <w:t xml:space="preserve">the Q2 sales figure (against a tough ¥20.7B comp), and any updated commentary on when the earned-premium inflection to flat/positive actually occurs.</w:t>
      </w:r>
    </w:p>
    <w:bookmarkEnd w:id="11"/>
    <w:bookmarkStart w:id="12" w:name="Xb4273724741ecf5647abc142ba9cb0de8a08564"/>
    <w:p>
      <w:pPr>
        <w:pStyle w:val="Heading3"/>
      </w:pPr>
      <w:r>
        <w:t xml:space="preserve">2. Japan profitability &amp; the benefit ratio</w:t>
      </w:r>
    </w:p>
    <w:p>
      <w:pPr>
        <w:pStyle w:val="FirstParagraph"/>
      </w:pPr>
      <w:r>
        <w:t xml:space="preserve">Japan has been the earnings engine —</w:t>
      </w:r>
      <w:r>
        <w:t xml:space="preserve"> </w:t>
      </w:r>
      <w:r>
        <w:rPr>
          <w:b/>
          <w:bCs/>
        </w:rPr>
        <w:t xml:space="preserve">Q1 pretax margin hit 35.0%</w:t>
      </w:r>
      <w:r>
        <w:t xml:space="preserve"> </w:t>
      </w:r>
      <w:r>
        <w:t xml:space="preserve">(up 320 bps YoY) with a benefit ratio of 62.9%, helped by favorable cancer/hospitalization experience and reserve remeasurement gains (~70 bps above plan). Management reiterated a</w:t>
      </w:r>
      <w:r>
        <w:t xml:space="preserve"> </w:t>
      </w:r>
      <w:r>
        <w:rPr>
          <w:b/>
          <w:bCs/>
        </w:rPr>
        <w:t xml:space="preserve">full-year Japan benefit ratio range of 60–63%</w:t>
      </w:r>
      <w:r>
        <w:t xml:space="preserve">. Q1 ran near the high end excluding favorable items, so watch whether the favorable claims trend persists.</w:t>
      </w:r>
    </w:p>
    <w:p>
      <w:pPr>
        <w:pStyle w:val="BodyText"/>
      </w:pPr>
      <w:r>
        <w:rPr>
          <w:b/>
          <w:bCs/>
        </w:rPr>
        <w:t xml:space="preserve">Key structural item:</w:t>
      </w:r>
      <w:r>
        <w:t xml:space="preserve"> </w:t>
      </w:r>
      <w:r>
        <w:t xml:space="preserve">management flagged a</w:t>
      </w:r>
      <w:r>
        <w:t xml:space="preserve"> </w:t>
      </w:r>
      <w:r>
        <w:rPr>
          <w:b/>
          <w:bCs/>
        </w:rPr>
        <w:t xml:space="preserve">long-term assumption unlock in Q3 2026</w:t>
      </w:r>
      <w:r>
        <w:t xml:space="preserve"> </w:t>
      </w:r>
      <w:r>
        <w:t xml:space="preserve">(net premium ratio reset). Any preview of that on the Q2 call could move the stock.</w:t>
      </w:r>
    </w:p>
    <w:bookmarkEnd w:id="12"/>
    <w:bookmarkStart w:id="13" w:name="Xaf1d148543b3141108d2eed6f9f967843ab4cfc"/>
    <w:p>
      <w:pPr>
        <w:pStyle w:val="Heading3"/>
      </w:pPr>
      <w:r>
        <w:t xml:space="preserve">3. U.S. — Group momentum vs. the core agent drag</w:t>
      </w:r>
    </w:p>
    <w:p>
      <w:pPr>
        <w:pStyle w:val="FirstParagraph"/>
      </w:pPr>
      <w:r>
        <w:t xml:space="preserve">The U.S. story is a tale of two channels: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Group business is strong</w:t>
      </w:r>
      <w:r>
        <w:t xml:space="preserve"> </w:t>
      </w:r>
      <w:r>
        <w:t xml:space="preserve">— group VB, dental/vision, and group life/absence/disability were up ~12% in Q1, and the "buy-to-bills" (dental/vision + group L&amp;D + consumer/direct) were up ~25%. Dental &amp; vision, a prior problem area, rose 52%.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core individual/agent business is flat-to-down.</w:t>
      </w:r>
      <w:r>
        <w:t xml:space="preserve"> </w:t>
      </w:r>
      <w:r>
        <w:t xml:space="preserve">Overall U.S. sales rose only 2.9% in Q1 ($318M) because the traditional agent channel isn't growing. Recruiting remains tough; management targets ~10–11K new agents for the year and is investing in conversion/productivity.</w:t>
      </w:r>
    </w:p>
    <w:p>
      <w:pPr>
        <w:pStyle w:val="FirstParagraph"/>
      </w:pPr>
      <w:r>
        <w:t xml:space="preserve">Persistency held at a solid</w:t>
      </w:r>
      <w:r>
        <w:t xml:space="preserve"> </w:t>
      </w:r>
      <w:r>
        <w:rPr>
          <w:b/>
          <w:bCs/>
        </w:rPr>
        <w:t xml:space="preserve">79.3%</w:t>
      </w:r>
      <w:r>
        <w:t xml:space="preserve">, and net earned premium grew 3.5%.</w:t>
      </w:r>
      <w:r>
        <w:t xml:space="preserve"> </w:t>
      </w:r>
      <w:r>
        <w:rPr>
          <w:b/>
          <w:bCs/>
        </w:rPr>
        <w:t xml:space="preserve">U.S. benefit ratio was 47.2% in Q1</w:t>
      </w:r>
      <w:r>
        <w:t xml:space="preserve">, well below the full-year guide of</w:t>
      </w:r>
      <w:r>
        <w:t xml:space="preserve"> </w:t>
      </w:r>
      <w:r>
        <w:rPr>
          <w:b/>
          <w:bCs/>
        </w:rPr>
        <w:t xml:space="preserve">48–52%</w:t>
      </w:r>
      <w:r>
        <w:t xml:space="preserve">, boosted by favorable cancer and group disability claims (~80 bps above plan) — management explicitly cautioned that group disability is volatile quarter-to-quarter and expects normalization. So a</w:t>
      </w:r>
      <w:r>
        <w:t xml:space="preserve"> </w:t>
      </w:r>
      <w:r>
        <w:rPr>
          <w:i/>
          <w:iCs/>
        </w:rPr>
        <w:t xml:space="preserve">higher</w:t>
      </w:r>
      <w:r>
        <w:t xml:space="preserve"> </w:t>
      </w:r>
      <w:r>
        <w:t xml:space="preserve">U.S. benefit ratio in Q2 would not necessarily be a negative surprise. Also watch for any follow-up on the one-state regulatory rate-cut headline from earlier in the year, which management characterized as immaterial.</w:t>
      </w:r>
    </w:p>
    <w:bookmarkEnd w:id="13"/>
    <w:bookmarkStart w:id="14" w:name="X25b363e4864d7874c76388f572f0f849f73007e"/>
    <w:p>
      <w:pPr>
        <w:pStyle w:val="Heading3"/>
      </w:pPr>
      <w:r>
        <w:t xml:space="preserve">4. Capital return — the reliable support</w:t>
      </w:r>
    </w:p>
    <w:p>
      <w:pPr>
        <w:pStyle w:val="FirstParagraph"/>
      </w:pPr>
      <w:r>
        <w:t xml:space="preserve">Capital return remains the core of the AFL thesis. In Q1 the company returned **</w:t>
      </w:r>
      <m:oMath>
        <m:r>
          <m:t>1.3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</m:oMath>
      <w:r>
        <w:t xml:space="preserve">1.0B buyback + $315M dividends). The Board raised the quarterly dividend</w:t>
      </w:r>
      <w:r>
        <w:t xml:space="preserve"> </w:t>
      </w:r>
      <w:r>
        <w:rPr>
          <w:b/>
          <w:bCs/>
        </w:rPr>
        <w:t xml:space="preserve">5.2% to</w:t>
      </w:r>
      <w:r>
        <w:rPr>
          <w:b/>
          <w:bCs/>
        </w:rPr>
        <w:t xml:space="preserve"> </w:t>
      </w:r>
      <m:oMath>
        <m:r>
          <m:t>0.61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t>d</m:t>
        </m:r>
        <m:r>
          <m:t>e</m:t>
        </m:r>
        <m:r>
          <m:t>c</m:t>
        </m:r>
        <m:r>
          <m:t>l</m:t>
        </m:r>
        <m:r>
          <m:t>a</m:t>
        </m:r>
        <m:r>
          <m:t>r</m:t>
        </m:r>
        <m:r>
          <m:t>e</m:t>
        </m:r>
        <m:r>
          <m:t>d</m:t>
        </m:r>
        <m:r>
          <m:t>t</m:t>
        </m:r>
        <m:r>
          <m:t>h</m:t>
        </m:r>
        <m:r>
          <m:t>e</m:t>
        </m:r>
        <m:r>
          <m:t>s</m:t>
        </m:r>
        <m:r>
          <m:t>a</m:t>
        </m:r>
        <m:r>
          <m:t>m</m:t>
        </m:r>
        <m:r>
          <m:t>e</m:t>
        </m:r>
        <m:r>
          <m:t>f</m:t>
        </m:r>
        <m:r>
          <m:t>o</m:t>
        </m:r>
        <m:r>
          <m:t>r</m:t>
        </m:r>
        <m:r>
          <m:t>Q</m:t>
        </m:r>
        <m:r>
          <m:t>2</m:t>
        </m:r>
        <m:r>
          <m:rPr>
            <m:sty m:val="p"/>
          </m:rPr>
          <m:t>—</m:t>
        </m:r>
        <m:r>
          <m:t>e</m:t>
        </m:r>
        <m:r>
          <m:t>x</m:t>
        </m:r>
        <m:r>
          <m:t>t</m:t>
        </m:r>
        <m:r>
          <m:t>e</m:t>
        </m:r>
        <m:r>
          <m:t>n</m:t>
        </m:r>
        <m:r>
          <m:t>d</m:t>
        </m:r>
        <m:r>
          <m:t>i</m:t>
        </m:r>
        <m:r>
          <m:t>n</m:t>
        </m:r>
        <m:r>
          <m:t>g</m:t>
        </m:r>
        <m:r>
          <m:t>a</m:t>
        </m:r>
        <m:r>
          <m:t>s</m:t>
        </m:r>
        <m:r>
          <m:t>t</m:t>
        </m:r>
        <m:r>
          <m:t>r</m:t>
        </m:r>
        <m:r>
          <m:t>e</m:t>
        </m:r>
        <m:r>
          <m:t>a</m:t>
        </m:r>
        <m:r>
          <m:t>k</m:t>
        </m:r>
        <m:r>
          <m:t>n</m:t>
        </m:r>
        <m:r>
          <m:t>o</m:t>
        </m:r>
        <m:r>
          <m:t>w</m:t>
        </m:r>
        <m:r>
          <m:t>a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43</m:t>
        </m:r>
        <m:r>
          <m:t>c</m:t>
        </m:r>
        <m:r>
          <m:t>o</m:t>
        </m:r>
        <m:r>
          <m:t>n</m:t>
        </m:r>
        <m:r>
          <m:t>s</m:t>
        </m:r>
        <m:r>
          <m:t>e</m:t>
        </m:r>
        <m:r>
          <m:t>c</m:t>
        </m:r>
        <m:r>
          <m:t>u</m:t>
        </m:r>
        <m:r>
          <m:t>t</m:t>
        </m:r>
        <m:r>
          <m:t>i</m:t>
        </m:r>
        <m:r>
          <m:t>v</m:t>
        </m:r>
        <m:r>
          <m:t>e</m:t>
        </m:r>
        <m:r>
          <m:t>y</m:t>
        </m:r>
        <m:r>
          <m:t>e</m:t>
        </m:r>
        <m:r>
          <m:t>a</m:t>
        </m:r>
        <m:r>
          <m:t>r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f</m:t>
        </m:r>
        <m:r>
          <m:t>i</m:t>
        </m:r>
        <m:r>
          <m:t>n</m:t>
        </m:r>
        <m:r>
          <m:t>c</m:t>
        </m:r>
        <m:r>
          <m:t>r</m:t>
        </m:r>
        <m:r>
          <m:t>e</m:t>
        </m:r>
        <m:r>
          <m:t>a</m:t>
        </m:r>
        <m:r>
          <m:t>s</m:t>
        </m:r>
        <m:r>
          <m:t>e</m:t>
        </m:r>
        <m:r>
          <m:t>s</m:t>
        </m:r>
        <m:r>
          <m:rPr>
            <m:sty m:val="p"/>
          </m:rPr>
          <m:t>.</m:t>
        </m:r>
        <m:r>
          <m:t>C</m:t>
        </m:r>
        <m:r>
          <m:t>a</m:t>
        </m:r>
        <m:r>
          <m:t>p</m:t>
        </m:r>
        <m:r>
          <m:t>i</m:t>
        </m:r>
        <m:r>
          <m:t>t</m:t>
        </m:r>
        <m:r>
          <m:t>a</m:t>
        </m:r>
        <m:r>
          <m:t>l</m:t>
        </m:r>
        <m:r>
          <m:t>r</m:t>
        </m:r>
        <m:r>
          <m:t>a</m:t>
        </m:r>
        <m:r>
          <m:t>t</m:t>
        </m:r>
        <m:r>
          <m:t>i</m:t>
        </m:r>
        <m:r>
          <m:t>o</m:t>
        </m:r>
        <m:r>
          <m:t>s</m:t>
        </m:r>
        <m:r>
          <m:t>a</m:t>
        </m:r>
        <m:r>
          <m:t>r</m:t>
        </m:r>
        <m:r>
          <m:t>e</m:t>
        </m:r>
        <m:r>
          <m:t>r</m:t>
        </m:r>
        <m:r>
          <m:t>o</m:t>
        </m:r>
        <m:r>
          <m:t>b</m:t>
        </m:r>
        <m:r>
          <m:t>u</m:t>
        </m:r>
        <m:r>
          <m:t>s</m:t>
        </m:r>
        <m:r>
          <m:t>t</m:t>
        </m:r>
        <m:r>
          <m:rPr>
            <m:sty m:val="p"/>
          </m:rPr>
          <m:t>: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E</m:t>
        </m:r>
        <m:r>
          <m:t>S</m:t>
        </m:r>
        <m:r>
          <m:t>R</m:t>
        </m:r>
        <m:r>
          <m:t> </m:t>
        </m:r>
        <m:r>
          <m:t>227</m:t>
        </m:r>
      </m:oMath>
      <w:r>
        <w:rPr>
          <w:b/>
          <w:bCs/>
        </w:rPr>
        <w:t xml:space="preserve">3.4B of holdco liquidity</w:t>
      </w:r>
      <w:r>
        <w:t xml:space="preserve"> </w:t>
      </w:r>
      <w:r>
        <w:t xml:space="preserve">($2.4B above minimum). Watch the Q2 buyback pace (Q2 2025 was $829M) and remaining authorization.</w:t>
      </w:r>
    </w:p>
    <w:bookmarkEnd w:id="14"/>
    <w:bookmarkStart w:id="15" w:name="X0b21bfd76d0fdfe567aa07b5d76999dcf9f7c95"/>
    <w:p>
      <w:pPr>
        <w:pStyle w:val="Heading3"/>
      </w:pPr>
      <w:r>
        <w:t xml:space="preserve">5. The reinsurance optionality</w:t>
      </w:r>
    </w:p>
    <w:p>
      <w:pPr>
        <w:pStyle w:val="FirstParagraph"/>
      </w:pPr>
      <w:r>
        <w:t xml:space="preserve">A newer strategic angle: at end-Q1,</w:t>
      </w:r>
      <w:r>
        <w:t xml:space="preserve"> </w:t>
      </w:r>
      <w:r>
        <w:rPr>
          <w:b/>
          <w:bCs/>
        </w:rPr>
        <w:t xml:space="preserve">Aflac Re Bermuda assumed a block of whole-life annuities from Japan Post</w:t>
      </w:r>
      <w:r>
        <w:t xml:space="preserve"> </w:t>
      </w:r>
      <w:r>
        <w:t xml:space="preserve">— the first</w:t>
      </w:r>
      <w:r>
        <w:t xml:space="preserve"> </w:t>
      </w:r>
      <w:r>
        <w:rPr>
          <w:i/>
          <w:iCs/>
        </w:rPr>
        <w:t xml:space="preserve">external</w:t>
      </w:r>
      <w:r>
        <w:t xml:space="preserve"> </w:t>
      </w:r>
      <w:r>
        <w:t xml:space="preserve">Japan reinsurance deal (following internal deals). It's immaterial today (mid-single-digit-million near-term drag to Japan earnings that fades to ~zero over time), but management framed it as a platform that could become "material over time" for deploying excess capital without cutting shareholder returns. Any sizing of the pipeline is a potential positive catalyst.</w:t>
      </w:r>
    </w:p>
    <w:bookmarkEnd w:id="15"/>
    <w:bookmarkStart w:id="16" w:name="X028ad934df4fcf392f9d96b7ce1538d8e9367b3"/>
    <w:p>
      <w:pPr>
        <w:pStyle w:val="Heading3"/>
      </w:pPr>
      <w:r>
        <w:t xml:space="preserve">6. FX, investments, and the cyber overhang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Yen:</w:t>
      </w:r>
      <w:r>
        <w:t xml:space="preserve"> </w:t>
      </w:r>
      <w:r>
        <w:t xml:space="preserve">A weaker yen is a translation headwind. Q1 2026 averaged ¥156.87/$ (2.8% weaker YoY, a $0.02 EPS drag), versus ¥144.60 in Q2 2025 — so YoY currency comparisons in Q2 could again be unfavorable. Aflac's enterprise hedge program (65% yen-denominated debt) neutralizes much of the economic impact but adds leverage-ratio noise.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Investments:</w:t>
      </w:r>
      <w:r>
        <w:t xml:space="preserve"> </w:t>
      </w:r>
      <w:r>
        <w:t xml:space="preserve">Commercial real estate remains a slow bleed — Q1 saw $19M of loan charge-offs and $24M of CRE impairments. Variable investment income ran modestly below plan. The</w:t>
      </w:r>
      <w:r>
        <w:t xml:space="preserve"> </w:t>
      </w:r>
      <w:r>
        <w:rPr>
          <w:b/>
          <w:bCs/>
        </w:rPr>
        <w:t xml:space="preserve">Corporate &amp; Other segment is expected to be slightly negative pretax in Q2</w:t>
      </w:r>
      <w:r>
        <w:t xml:space="preserve"> </w:t>
      </w:r>
      <w:r>
        <w:t xml:space="preserve">per management, given short-rate sensitivity and ~8%/yr runoff of reinsurance blocks.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Cybersecurity:</w:t>
      </w:r>
      <w:r>
        <w:t xml:space="preserve"> </w:t>
      </w:r>
      <w:r>
        <w:t xml:space="preserve">Aflac disclosed an unauthorized network-access incident in June 2025 (listed as a risk factor), and press reports point to a separate reported breach at Aflac Japan in mid-2026 affecting policyholder data. Any commentary on scope, remediation costs, or reserve impact is a wildcard worth monitoring, though nothing quantified to date.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Aflac is a "quality compounder" story — strong margins, fortress capital, and relentless capital return — trading near highs into the print. The</w:t>
      </w:r>
      <w:r>
        <w:t xml:space="preserve"> </w:t>
      </w:r>
      <w:r>
        <w:rPr>
          <w:b/>
          <w:bCs/>
        </w:rPr>
        <w:t xml:space="preserve">base case</w:t>
      </w:r>
      <w:r>
        <w:t xml:space="preserve"> </w:t>
      </w:r>
      <w:r>
        <w:t xml:space="preserve">is another in-line-ish quarter (~$1.77 EPS) with continued Japan margin strength, robust U.S. group sales, and $1B+ of capital returned.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/>
          <w:bCs/>
        </w:rPr>
        <w:t xml:space="preserve">debates that will drive the reaction:</w:t>
      </w:r>
    </w:p>
    <w:p>
      <w:pPr>
        <w:pStyle w:val="Compact"/>
        <w:numPr>
          <w:ilvl w:val="0"/>
          <w:numId w:val="1003"/>
        </w:numPr>
      </w:pPr>
      <w:r>
        <w:t xml:space="preserve">Does strong Japan sales momentum show any sign of translating into earned-premium stabilization?</w:t>
      </w:r>
    </w:p>
    <w:p>
      <w:pPr>
        <w:pStyle w:val="Compact"/>
        <w:numPr>
          <w:ilvl w:val="0"/>
          <w:numId w:val="1003"/>
        </w:numPr>
      </w:pPr>
      <w:r>
        <w:t xml:space="preserve">Do the favorable reserve/claims tailwinds in both segments persist, or do benefit ratios normalize toward guidance (US 48–52%, Japan 60–63%)?</w:t>
      </w:r>
    </w:p>
    <w:p>
      <w:pPr>
        <w:pStyle w:val="Compact"/>
        <w:numPr>
          <w:ilvl w:val="0"/>
          <w:numId w:val="1003"/>
        </w:numPr>
      </w:pPr>
      <w:r>
        <w:t xml:space="preserve">Any early read on the Q3 assumption unlock and the scale of the external reinsurance opportunity?</w:t>
      </w:r>
    </w:p>
    <w:p>
      <w:pPr>
        <w:pStyle w:val="Compact"/>
        <w:numPr>
          <w:ilvl w:val="0"/>
          <w:numId w:val="1003"/>
        </w:numPr>
      </w:pPr>
      <w:r>
        <w:t xml:space="preserve">Cyber and CRE — any negative surprises?</w:t>
      </w:r>
    </w:p>
    <w:p>
      <w:pPr>
        <w:pStyle w:val="FirstParagraph"/>
      </w:pPr>
      <w:r>
        <w:t xml:space="preserve">With the stock priced for continued execution and Q1 having been a small miss, the risk/reward into the print is asymmetric: a clean beat is largely expected, while a benefit-ratio normalization, an FX drag, or cyber-related noise could pressure a stock that has already run ~14% YTD.</w:t>
      </w:r>
    </w:p>
    <w:p>
      <w:pPr>
        <w:pStyle w:val="BodyText"/>
      </w:pPr>
      <w:r>
        <w:rPr>
          <w:i/>
          <w:iCs/>
        </w:rPr>
        <w:t xml:space="preserve">(Sources: Aflac Q1 2026 earnings release and conference call transcript, Q2 2025 earnings release, publicly reported analyst consensus, and Aflac SEC risk-factor disclosures. Figures are company-reported; consensus estimates are third-party and approximate.)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2026-08-06T01:18:05Z</dcterms:created>
  <dcterms:modified xsi:type="dcterms:W3CDTF">2026-08-06T01:18:05Z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