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afl-q2-2026-earnings-preview"/>
    <w:p>
      <w:pPr>
        <w:pStyle w:val="Heading1"/>
      </w:pPr>
      <w:r>
        <w:t xml:space="preserve">AFL Q2 2026 Earnings Preview</w:t>
      </w:r>
    </w:p>
    <w:p>
      <w:pPr>
        <w:pStyle w:val="BlockText"/>
      </w:pPr>
      <w:r>
        <w:rPr>
          <w:b/>
          <w:bCs/>
        </w:rPr>
        <w:t xml:space="preserve">Timing clarification:</w:t>
      </w:r>
      <w:r>
        <w:t xml:space="preserve"> </w:t>
      </w:r>
      <w:r>
        <w:t xml:space="preserve">Aflac will release second-quarter results</w:t>
      </w:r>
      <w:r>
        <w:t xml:space="preserve"> </w:t>
      </w:r>
      <w:r>
        <w:rPr>
          <w:b/>
          <w:bCs/>
        </w:rPr>
        <w:t xml:space="preserve">after the market closes today, Thursday, August 6, 2026</w:t>
      </w:r>
      <w:r>
        <w:t xml:space="preserve">. The earnings call is</w:t>
      </w:r>
      <w:r>
        <w:t xml:space="preserve"> </w:t>
      </w:r>
      <w:r>
        <w:rPr>
          <w:b/>
          <w:bCs/>
        </w:rPr>
        <w:t xml:space="preserve">tomorrow, Friday, August 7, at 8:00 a.m. ET</w:t>
      </w:r>
      <w:r>
        <w:t xml:space="preserve">. (</w:t>
      </w:r>
      <w:hyperlink r:id="rId9">
        <w:r>
          <w:rPr>
            <w:rStyle w:val="Hyperlink"/>
          </w:rPr>
          <w:t xml:space="preserve">investors.aflac.com</w:t>
        </w:r>
      </w:hyperlink>
      <w:r>
        <w:t xml:space="preserve">)</w:t>
      </w:r>
    </w:p>
    <w:bookmarkStart w:id="11" w:name="the-setup"/>
    <w:p>
      <w:pPr>
        <w:pStyle w:val="Heading2"/>
      </w:pPr>
      <w:r>
        <w:t xml:space="preserve">The setup</w:t>
      </w:r>
    </w:p>
    <w:p>
      <w:pPr>
        <w:pStyle w:val="FirstParagraph"/>
      </w:pPr>
      <w:r>
        <w:t xml:space="preserve">Wall Street expects approximately</w:t>
      </w:r>
      <w:r>
        <w:t xml:space="preserve"> </w:t>
      </w:r>
      <m:oMath>
        <m:r>
          <m:t>1.76</m:t>
        </m:r>
        <m:r>
          <m:rPr>
            <m:sty m:val="p"/>
          </m:rPr>
          <m:t>–</m:t>
        </m:r>
      </m:oMath>
      <w:r>
        <w:rPr>
          <w:b/>
          <w:bCs/>
        </w:rPr>
        <w:t xml:space="preserve">1.77 of adjusted EPS</w:t>
      </w:r>
      <w:r>
        <w:t xml:space="preserve">, versus $1.78 in Q2 2025. One aggregator estimates GAAP revenue of $4.23 billion, although revenue is a noisy measure for Aflac because derivatives, foreign exchange and investment gains or losses can cause large swings. (</w:t>
      </w:r>
      <w:hyperlink r:id="rId10">
        <w:r>
          <w:rPr>
            <w:rStyle w:val="Hyperlink"/>
          </w:rPr>
          <w:t xml:space="preserve">benzinga.com</w:t>
        </w:r>
      </w:hyperlink>
      <w:r>
        <w:t xml:space="preserve">)</w:t>
      </w:r>
    </w:p>
    <w:p>
      <w:pPr>
        <w:pStyle w:val="BodyText"/>
      </w:pPr>
      <w:r>
        <w:t xml:space="preserve">AFL closed August 5 near</w:t>
      </w:r>
      <w:r>
        <w:t xml:space="preserve"> </w:t>
      </w:r>
      <w:r>
        <w:rPr>
          <w:b/>
          <w:bCs/>
        </w:rPr>
        <w:t xml:space="preserve">$125.60</w:t>
      </w:r>
      <w:r>
        <w:t xml:space="preserve">, leaving a higher bar than immediately following the first-quarter report. The market is therefore likely to care less about a one- or two-cent EPS beat and more about whether Japan’s sales recovery, U.S. premium growth and capital return remain durable. (</w:t>
      </w:r>
      <w:hyperlink r:id="rId10">
        <w:r>
          <w:rPr>
            <w:rStyle w:val="Hyperlink"/>
          </w:rPr>
          <w:t xml:space="preserve">benzinga.com</w:t>
        </w:r>
      </w:hyperlink>
      <w:r>
        <w:t xml:space="preserve">)</w:t>
      </w:r>
    </w:p>
    <w:bookmarkEnd w:id="11"/>
    <w:bookmarkStart w:id="13" w:name="preview-scorecard"/>
    <w:p>
      <w:pPr>
        <w:pStyle w:val="Heading2"/>
      </w:pPr>
      <w:r>
        <w:t xml:space="preserve">Preview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Reference point</w:t>
            </w:r>
          </w:p>
        </w:tc>
        <w:tc>
          <w:tcPr/>
          <w:p>
            <w:pPr>
              <w:pStyle w:val="Compact"/>
            </w:pPr>
            <w:r>
              <w:t xml:space="preserve">What would be encouraging</w:t>
            </w:r>
          </w:p>
        </w:tc>
      </w:tr>
      <w:tr>
        <w:tc>
          <w:tcPr/>
          <w:p>
            <w:pPr>
              <w:pStyle w:val="Compact"/>
            </w:pPr>
            <w:r>
              <w:t xml:space="preserve">Adjusted EPS</w:t>
            </w:r>
          </w:p>
        </w:tc>
        <w:tc>
          <w:tcPr/>
          <w:p>
            <w:pPr>
              <w:pStyle w:val="Compact"/>
              <w:jc w:val="right"/>
            </w:pPr>
            <w:r>
              <w:t xml:space="preserve">Consensus:</w:t>
            </w:r>
            <w:r>
              <w:t xml:space="preserve"> </w:t>
            </w:r>
            <m:oMath>
              <m:r>
                <m:t>1.76</m:t>
              </m:r>
              <m:r>
                <m:rPr>
                  <m:sty m:val="p"/>
                </m:rPr>
                <m:t>–</m:t>
              </m:r>
            </m:oMath>
            <w:r>
              <w:rPr>
                <w:b/>
                <w:bCs/>
              </w:rPr>
              <w:t xml:space="preserve">1.77</w:t>
            </w:r>
          </w:p>
        </w:tc>
        <w:tc>
          <w:tcPr/>
          <w:p>
            <w:pPr>
              <w:pStyle w:val="Compact"/>
            </w:pPr>
            <w:r>
              <w:t xml:space="preserve">A clean result above $1.80</w:t>
            </w:r>
          </w:p>
        </w:tc>
      </w:tr>
      <w:tr>
        <w:tc>
          <w:tcPr/>
          <w:p>
            <w:pPr>
              <w:pStyle w:val="Compact"/>
            </w:pPr>
            <w:r>
              <w:t xml:space="preserve">Aflac Japan sales</w:t>
            </w:r>
          </w:p>
        </w:tc>
        <w:tc>
          <w:tcPr/>
          <w:p>
            <w:pPr>
              <w:pStyle w:val="Compact"/>
              <w:jc w:val="right"/>
            </w:pPr>
            <w:r>
              <w:t xml:space="preserve">Q1:</w:t>
            </w:r>
            <w:r>
              <w:t xml:space="preserve"> </w:t>
            </w:r>
            <w:r>
              <w:rPr>
                <w:b/>
                <w:bCs/>
              </w:rPr>
              <w:t xml:space="preserve">¥17.7B, +25.5%</w:t>
            </w:r>
          </w:p>
        </w:tc>
        <w:tc>
          <w:tcPr/>
          <w:p>
            <w:pPr>
              <w:pStyle w:val="Compact"/>
            </w:pPr>
            <w:r>
              <w:t xml:space="preserve">Roughly ¥20B or better, with broad product/channel strength</w:t>
            </w:r>
          </w:p>
        </w:tc>
      </w:tr>
      <w:tr>
        <w:tc>
          <w:tcPr/>
          <w:p>
            <w:pPr>
              <w:pStyle w:val="Compact"/>
            </w:pPr>
            <w:r>
              <w:t xml:space="preserve">Japan underlying premiums</w:t>
            </w:r>
          </w:p>
        </w:tc>
        <w:tc>
          <w:tcPr/>
          <w:p>
            <w:pPr>
              <w:pStyle w:val="Compact"/>
              <w:jc w:val="right"/>
            </w:pPr>
            <w:r>
              <w:t xml:space="preserve">Q1 decline: approximately</w:t>
            </w:r>
            <w:r>
              <w:t xml:space="preserve"> </w:t>
            </w:r>
            <w:r>
              <w:rPr>
                <w:b/>
                <w:bCs/>
              </w:rPr>
              <w:t xml:space="preserve">1%–2%</w:t>
            </w:r>
          </w:p>
        </w:tc>
        <w:tc>
          <w:tcPr/>
          <w:p>
            <w:pPr>
              <w:pStyle w:val="Compact"/>
            </w:pPr>
            <w:r>
              <w:t xml:space="preserve">Stabilization or a clearer path toward flat growth</w:t>
            </w:r>
          </w:p>
        </w:tc>
      </w:tr>
      <w:tr>
        <w:tc>
          <w:tcPr/>
          <w:p>
            <w:pPr>
              <w:pStyle w:val="Compact"/>
            </w:pPr>
            <w:r>
              <w:t xml:space="preserve">Japan benefit ratio</w:t>
            </w:r>
          </w:p>
        </w:tc>
        <w:tc>
          <w:tcPr/>
          <w:p>
            <w:pPr>
              <w:pStyle w:val="Compact"/>
              <w:jc w:val="right"/>
            </w:pPr>
            <w:r>
              <w:t xml:space="preserve">Q1:</w:t>
            </w:r>
            <w:r>
              <w:t xml:space="preserve"> </w:t>
            </w:r>
            <w:r>
              <w:rPr>
                <w:b/>
                <w:bCs/>
              </w:rPr>
              <w:t xml:space="preserve">62.9%</w:t>
            </w:r>
          </w:p>
        </w:tc>
        <w:tc>
          <w:tcPr/>
          <w:p>
            <w:pPr>
              <w:pStyle w:val="Compact"/>
            </w:pPr>
            <w:r>
              <w:t xml:space="preserve">Within the</w:t>
            </w:r>
            <w:r>
              <w:t xml:space="preserve"> </w:t>
            </w:r>
            <w:r>
              <w:rPr>
                <w:b/>
                <w:bCs/>
              </w:rPr>
              <w:t xml:space="preserve">60%–63%</w:t>
            </w:r>
            <w:r>
              <w:t xml:space="preserve"> </w:t>
            </w:r>
            <w:r>
              <w:t xml:space="preserve">full-year range without unusual reserve help</w:t>
            </w:r>
          </w:p>
        </w:tc>
      </w:tr>
      <w:tr>
        <w:tc>
          <w:tcPr/>
          <w:p>
            <w:pPr>
              <w:pStyle w:val="Compact"/>
            </w:pPr>
            <w:r>
              <w:t xml:space="preserve">Aflac U.S. premium growth</w:t>
            </w:r>
          </w:p>
        </w:tc>
        <w:tc>
          <w:tcPr/>
          <w:p>
            <w:pPr>
              <w:pStyle w:val="Compact"/>
              <w:jc w:val="right"/>
            </w:pPr>
            <w:r>
              <w:t xml:space="preserve">Q1:</w:t>
            </w:r>
            <w:r>
              <w:t xml:space="preserve"> </w:t>
            </w:r>
            <w:r>
              <w:rPr>
                <w:b/>
                <w:bCs/>
              </w:rPr>
              <w:t xml:space="preserve">+3.5%</w:t>
            </w:r>
          </w:p>
        </w:tc>
        <w:tc>
          <w:tcPr/>
          <w:p>
            <w:pPr>
              <w:pStyle w:val="Compact"/>
            </w:pPr>
            <w:r>
              <w:t xml:space="preserve">Continued 3%–4% growth</w:t>
            </w:r>
          </w:p>
        </w:tc>
      </w:tr>
      <w:tr>
        <w:tc>
          <w:tcPr/>
          <w:p>
            <w:pPr>
              <w:pStyle w:val="Compact"/>
            </w:pPr>
            <w:r>
              <w:t xml:space="preserve">U.S. benefit ratio</w:t>
            </w:r>
          </w:p>
        </w:tc>
        <w:tc>
          <w:tcPr/>
          <w:p>
            <w:pPr>
              <w:pStyle w:val="Compact"/>
              <w:jc w:val="right"/>
            </w:pPr>
            <w:r>
              <w:t xml:space="preserve">Q1:</w:t>
            </w:r>
            <w:r>
              <w:t xml:space="preserve"> </w:t>
            </w:r>
            <w:r>
              <w:rPr>
                <w:b/>
                <w:bCs/>
              </w:rPr>
              <w:t xml:space="preserve">47.2%</w:t>
            </w:r>
          </w:p>
        </w:tc>
        <w:tc>
          <w:tcPr/>
          <w:p>
            <w:pPr>
              <w:pStyle w:val="Compact"/>
            </w:pPr>
            <w:r>
              <w:t xml:space="preserve">Controlled normalization within the</w:t>
            </w:r>
            <w:r>
              <w:t xml:space="preserve"> </w:t>
            </w:r>
            <w:r>
              <w:rPr>
                <w:b/>
                <w:bCs/>
              </w:rPr>
              <w:t xml:space="preserve">48%–52%</w:t>
            </w:r>
            <w:r>
              <w:t xml:space="preserve"> </w:t>
            </w:r>
            <w:r>
              <w:t xml:space="preserve">outlook</w:t>
            </w:r>
          </w:p>
        </w:tc>
      </w:tr>
      <w:tr>
        <w:tc>
          <w:tcPr/>
          <w:p>
            <w:pPr>
              <w:pStyle w:val="Compact"/>
            </w:pPr>
            <w:r>
              <w:t xml:space="preserve">U.S. pretax margin</w:t>
            </w:r>
          </w:p>
        </w:tc>
        <w:tc>
          <w:tcPr/>
          <w:p>
            <w:pPr>
              <w:pStyle w:val="Compact"/>
              <w:jc w:val="right"/>
            </w:pPr>
            <w:r>
              <w:t xml:space="preserve">Q1:</w:t>
            </w:r>
            <w:r>
              <w:t xml:space="preserve"> </w:t>
            </w:r>
            <w:r>
              <w:rPr>
                <w:b/>
                <w:bCs/>
              </w:rPr>
              <w:t xml:space="preserve">20.4%</w:t>
            </w:r>
          </w:p>
        </w:tc>
        <w:tc>
          <w:tcPr/>
          <w:p>
            <w:pPr>
              <w:pStyle w:val="Compact"/>
            </w:pPr>
            <w:r>
              <w:t xml:space="preserve">Approximately 20% or better</w:t>
            </w:r>
          </w:p>
        </w:tc>
      </w:tr>
      <w:tr>
        <w:tc>
          <w:tcPr/>
          <w:p>
            <w:pPr>
              <w:pStyle w:val="Compact"/>
            </w:pPr>
            <w:r>
              <w:t xml:space="preserve">Capital return</w:t>
            </w:r>
          </w:p>
        </w:tc>
        <w:tc>
          <w:tcPr/>
          <w:p>
            <w:pPr>
              <w:pStyle w:val="Compact"/>
              <w:jc w:val="right"/>
            </w:pPr>
            <w:r>
              <w:t xml:space="preserve">Q1:</w:t>
            </w:r>
            <w:r>
              <w:t xml:space="preserve"> </w:t>
            </w:r>
            <w:r>
              <w:rPr>
                <w:b/>
                <w:bCs/>
              </w:rPr>
              <w:t xml:space="preserve">$1.3B</w:t>
            </w:r>
          </w:p>
        </w:tc>
        <w:tc>
          <w:tcPr/>
          <w:p>
            <w:pPr>
              <w:pStyle w:val="Compact"/>
            </w:pPr>
            <w:r>
              <w:t xml:space="preserve">Continued robust repurchases without weakening capital</w:t>
            </w:r>
          </w:p>
        </w:tc>
      </w:tr>
    </w:tbl>
    <w:p>
      <w:pPr>
        <w:pStyle w:val="BodyText"/>
      </w:pPr>
      <w:r>
        <w:t xml:space="preserve">Aflac entered Q2 with strong operating momentum: Japan sales rose 25.5%, U.S. sales increased 2.9%, and U.S. net earned premiums grew 3.5%. At the same time, Japan’s net earned premiums remained under pressure and Corporate and Other fell to breakeven pretax earnings. (</w:t>
      </w:r>
      <w:hyperlink r:id="rId12">
        <w:r>
          <w:rPr>
            <w:rStyle w:val="Hyperlink"/>
          </w:rPr>
          <w:t xml:space="preserve">s24.q4cdn.com</w:t>
        </w:r>
      </w:hyperlink>
      <w:r>
        <w:t xml:space="preserve">)</w:t>
      </w:r>
    </w:p>
    <w:bookmarkEnd w:id="13"/>
    <w:bookmarkStart w:id="16" w:name="X371413d784538e87b999b399f171f244250dbf0"/>
    <w:p>
      <w:pPr>
        <w:pStyle w:val="Heading2"/>
      </w:pPr>
      <w:r>
        <w:t xml:space="preserve">1. Japan: can strong sales start repairing the premium base?</w:t>
      </w:r>
    </w:p>
    <w:p>
      <w:pPr>
        <w:pStyle w:val="FirstParagraph"/>
      </w:pPr>
      <w:r>
        <w:t xml:space="preserve">This is the most important fundamental question.</w:t>
      </w:r>
    </w:p>
    <w:p>
      <w:pPr>
        <w:pStyle w:val="BodyText"/>
      </w:pPr>
      <w:r>
        <w:t xml:space="preserve">Japan’s Q1 sales increased</w:t>
      </w:r>
      <w:r>
        <w:t xml:space="preserve"> </w:t>
      </w:r>
      <w:r>
        <w:rPr>
          <w:b/>
          <w:bCs/>
        </w:rPr>
        <w:t xml:space="preserve">25.5% to ¥17.7 billion</w:t>
      </w:r>
      <w:r>
        <w:t xml:space="preserve">, driven by the Anshin Palette medical product, Miraito cancer insurance and Tsumitasu life insurance. However, net earned premiums still declined 3.8%, reflecting reinsurance and limited-pay policies reaching paid-up status. Premium persistency also declined 100 basis points to 92.8%. (</w:t>
      </w:r>
      <w:hyperlink r:id="rId12">
        <w:r>
          <w:rPr>
            <w:rStyle w:val="Hyperlink"/>
          </w:rPr>
          <w:t xml:space="preserve">s24.q4cdn.com</w:t>
        </w:r>
      </w:hyperlink>
      <w:r>
        <w:t xml:space="preserve">)</w:t>
      </w:r>
    </w:p>
    <w:p>
      <w:pPr>
        <w:pStyle w:val="BodyText"/>
      </w:pPr>
      <w:r>
        <w:t xml:space="preserve">On the Q1 call, management indicated that:</w:t>
      </w:r>
    </w:p>
    <w:p>
      <w:pPr>
        <w:pStyle w:val="Compact"/>
        <w:numPr>
          <w:ilvl w:val="0"/>
          <w:numId w:val="1001"/>
        </w:numPr>
      </w:pPr>
      <w:r>
        <w:t xml:space="preserve">Underlying earned premiums would likely remain down approximately 1%–2% in 2026.</w:t>
      </w:r>
    </w:p>
    <w:p>
      <w:pPr>
        <w:pStyle w:val="Compact"/>
        <w:numPr>
          <w:ilvl w:val="0"/>
          <w:numId w:val="1001"/>
        </w:numPr>
      </w:pPr>
      <w:r>
        <w:t xml:space="preserve">Roughly</w:t>
      </w:r>
      <w:r>
        <w:t xml:space="preserve"> </w:t>
      </w:r>
      <w:r>
        <w:rPr>
          <w:b/>
          <w:bCs/>
        </w:rPr>
        <w:t xml:space="preserve">¥90 billion of annual sales</w:t>
      </w:r>
      <w:r>
        <w:t xml:space="preserve"> </w:t>
      </w:r>
      <w:r>
        <w:t xml:space="preserve">would be needed to stabilize the in-force premium base.</w:t>
      </w:r>
    </w:p>
    <w:p>
      <w:pPr>
        <w:pStyle w:val="Compact"/>
        <w:numPr>
          <w:ilvl w:val="0"/>
          <w:numId w:val="1001"/>
        </w:numPr>
      </w:pPr>
      <w:r>
        <w:t xml:space="preserve">Management would like 2026 sales to approach</w:t>
      </w:r>
      <w:r>
        <w:t xml:space="preserve"> </w:t>
      </w:r>
      <w:r>
        <w:rPr>
          <w:b/>
          <w:bCs/>
        </w:rPr>
        <w:t xml:space="preserve">¥80 billion</w:t>
      </w:r>
      <w:r>
        <w:t xml:space="preserve">, above 2025’s approximately ¥74 billion.</w:t>
      </w:r>
    </w:p>
    <w:p>
      <w:pPr>
        <w:pStyle w:val="FirstParagraph"/>
      </w:pPr>
      <w:r>
        <w:t xml:space="preserve">That makes Q2 sales around</w:t>
      </w:r>
      <w:r>
        <w:t xml:space="preserve"> </w:t>
      </w:r>
      <w:r>
        <w:rPr>
          <w:b/>
          <w:bCs/>
        </w:rPr>
        <w:t xml:space="preserve">¥20 billion or higher</w:t>
      </w:r>
      <w:r>
        <w:t xml:space="preserve"> </w:t>
      </w:r>
      <w:r>
        <w:t xml:space="preserve">an important marker. It would keep Aflac reasonably close to the ¥80 billion aspiration and suggest that the new-product momentum is sustainable rather than simply launch-driven.</w:t>
      </w:r>
    </w:p>
    <w:p>
      <w:pPr>
        <w:pStyle w:val="BodyText"/>
      </w:pPr>
      <w:r>
        <w:t xml:space="preserve">Investors should also watch:</w:t>
      </w:r>
    </w:p>
    <w:p>
      <w:pPr>
        <w:pStyle w:val="Compact"/>
        <w:numPr>
          <w:ilvl w:val="0"/>
          <w:numId w:val="1002"/>
        </w:numPr>
      </w:pPr>
      <w:r>
        <w:t xml:space="preserve">Whether Miraito continues to grow while competing for sales attention with Anshin Palette.</w:t>
      </w:r>
    </w:p>
    <w:p>
      <w:pPr>
        <w:pStyle w:val="Compact"/>
        <w:numPr>
          <w:ilvl w:val="0"/>
          <w:numId w:val="1002"/>
        </w:numPr>
      </w:pPr>
      <w:r>
        <w:t xml:space="preserve">Whether Tsumitasu remains competitive following product-rate adjustments.</w:t>
      </w:r>
    </w:p>
    <w:p>
      <w:pPr>
        <w:pStyle w:val="Compact"/>
        <w:numPr>
          <w:ilvl w:val="0"/>
          <w:numId w:val="1002"/>
        </w:numPr>
      </w:pPr>
      <w:r>
        <w:t xml:space="preserve">Lapse-and-reissue activity, particularly among newer policy cohorts.</w:t>
      </w:r>
    </w:p>
    <w:p>
      <w:pPr>
        <w:pStyle w:val="Compact"/>
        <w:numPr>
          <w:ilvl w:val="0"/>
          <w:numId w:val="1002"/>
        </w:numPr>
      </w:pPr>
      <w:r>
        <w:t xml:space="preserve">Whether the cyber incident has affected agency productivity, digital enrollment or customer retention.</w:t>
      </w:r>
    </w:p>
    <w:bookmarkStart w:id="15" w:name="japan-profitability"/>
    <w:p>
      <w:pPr>
        <w:pStyle w:val="Heading3"/>
      </w:pPr>
      <w:r>
        <w:t xml:space="preserve">Japan profitability</w:t>
      </w:r>
    </w:p>
    <w:p>
      <w:pPr>
        <w:pStyle w:val="FirstParagraph"/>
      </w:pPr>
      <w:r>
        <w:t xml:space="preserve">Management’s full-year outlook calls for a</w:t>
      </w:r>
      <w:r>
        <w:t xml:space="preserve"> </w:t>
      </w:r>
      <w:r>
        <w:rPr>
          <w:b/>
          <w:bCs/>
        </w:rPr>
        <w:t xml:space="preserve">60%–63% benefit ratio</w:t>
      </w:r>
      <w:r>
        <w:t xml:space="preserve"> </w:t>
      </w:r>
      <w:r>
        <w:t xml:space="preserve">and a</w:t>
      </w:r>
      <w:r>
        <w:t xml:space="preserve"> </w:t>
      </w:r>
      <w:r>
        <w:rPr>
          <w:b/>
          <w:bCs/>
        </w:rPr>
        <w:t xml:space="preserve">20%–23% expense ratio</w:t>
      </w:r>
      <w:r>
        <w:t xml:space="preserve">. Q1’s benefit ratio was 62.9% and the expense ratio was 19.5%, producing an unusually strong 35% pretax margin. (</w:t>
      </w:r>
      <w:hyperlink r:id="rId14">
        <w:r>
          <w:rPr>
            <w:rStyle w:val="Hyperlink"/>
          </w:rPr>
          <w:t xml:space="preserve">sec.gov</w:t>
        </w:r>
      </w:hyperlink>
      <w:r>
        <w:t xml:space="preserve">)</w:t>
      </w:r>
    </w:p>
    <w:p>
      <w:pPr>
        <w:pStyle w:val="BodyText"/>
      </w:pPr>
      <w:r>
        <w:t xml:space="preserve">A modest increase in the benefit ratio would not necessarily be negative: Q1 benefited from favorable reserve remeasurement. More important is whether underlying cancer and hospitalization claims remain favorable and the full-year range stays intact.</w:t>
      </w:r>
    </w:p>
    <w:bookmarkEnd w:id="15"/>
    <w:bookmarkEnd w:id="16"/>
    <w:bookmarkStart w:id="18" w:name="X93f94e0abebd12536dc82882425a4a4f3898d1f"/>
    <w:p>
      <w:pPr>
        <w:pStyle w:val="Heading2"/>
      </w:pPr>
      <w:r>
        <w:t xml:space="preserve">2. The Japan cyberattack will dominate the call</w:t>
      </w:r>
    </w:p>
    <w:p>
      <w:pPr>
        <w:pStyle w:val="FirstParagraph"/>
      </w:pPr>
      <w:r>
        <w:t xml:space="preserve">The June cyber incident is likely to receive more attention than any single earnings-line item.</w:t>
      </w:r>
    </w:p>
    <w:p>
      <w:pPr>
        <w:pStyle w:val="BodyText"/>
      </w:pPr>
      <w:r>
        <w:t xml:space="preserve">Aflac Japan now says unauthorized access occurred between</w:t>
      </w:r>
      <w:r>
        <w:t xml:space="preserve"> </w:t>
      </w:r>
      <w:r>
        <w:rPr>
          <w:b/>
          <w:bCs/>
        </w:rPr>
        <w:t xml:space="preserve">June 10 and June 25</w:t>
      </w:r>
      <w:r>
        <w:t xml:space="preserve">. Approximately</w:t>
      </w:r>
      <w:r>
        <w:t xml:space="preserve"> </w:t>
      </w:r>
      <w:r>
        <w:rPr>
          <w:b/>
          <w:bCs/>
        </w:rPr>
        <w:t xml:space="preserve">4.4 million customers</w:t>
      </w:r>
      <w:r>
        <w:t xml:space="preserve"> </w:t>
      </w:r>
      <w:r>
        <w:t xml:space="preserve">had personal information exposed, including about</w:t>
      </w:r>
      <w:r>
        <w:t xml:space="preserve"> </w:t>
      </w:r>
      <w:r>
        <w:rPr>
          <w:b/>
          <w:bCs/>
        </w:rPr>
        <w:t xml:space="preserve">220,000 customers whose bank-account information was involved</w:t>
      </w:r>
      <w:r>
        <w:t xml:space="preserve">. As of July 31, Aflac said it had not identified misuse related to the incident. The company attributed the breach to insufficient controls over the access and mass-data-query methods used in the attack. (</w:t>
      </w:r>
      <w:hyperlink r:id="rId17">
        <w:r>
          <w:rPr>
            <w:rStyle w:val="Hyperlink"/>
          </w:rPr>
          <w:t xml:space="preserve">aflac.co.jp</w:t>
        </w:r>
      </w:hyperlink>
      <w:r>
        <w:t xml:space="preserve">)</w:t>
      </w:r>
    </w:p>
    <w:p>
      <w:pPr>
        <w:pStyle w:val="BodyText"/>
      </w:pPr>
      <w:r>
        <w:t xml:space="preserve">The key investor questions are:</w:t>
      </w:r>
    </w:p>
    <w:p>
      <w:pPr>
        <w:numPr>
          <w:ilvl w:val="0"/>
          <w:numId w:val="1003"/>
        </w:numPr>
      </w:pPr>
      <w:r>
        <w:rPr>
          <w:b/>
          <w:bCs/>
        </w:rPr>
        <w:t xml:space="preserve">How much expense was recognized in Q2?</w:t>
      </w:r>
      <w:r>
        <w:br/>
      </w:r>
      <w:r>
        <w:t xml:space="preserve">Detection occurred before quarter-end, but notification, investigation and remediation work continued through July.</w:t>
      </w:r>
    </w:p>
    <w:p>
      <w:pPr>
        <w:numPr>
          <w:ilvl w:val="0"/>
          <w:numId w:val="1003"/>
        </w:numPr>
      </w:pPr>
      <w:r>
        <w:rPr>
          <w:b/>
          <w:bCs/>
        </w:rPr>
        <w:t xml:space="preserve">What additional costs are expected?</w:t>
      </w:r>
      <w:r>
        <w:br/>
      </w:r>
      <w:r>
        <w:t xml:space="preserve">Potential items include technology remediation, outside advisers, customer support, regulatory costs and litigation.</w:t>
      </w:r>
    </w:p>
    <w:p>
      <w:pPr>
        <w:numPr>
          <w:ilvl w:val="0"/>
          <w:numId w:val="1003"/>
        </w:numPr>
      </w:pPr>
      <w:r>
        <w:rPr>
          <w:b/>
          <w:bCs/>
        </w:rPr>
        <w:t xml:space="preserve">How much is insured?</w:t>
      </w:r>
      <w:r>
        <w:br/>
      </w:r>
      <w:r>
        <w:t xml:space="preserve">Any discussion of cybersecurity insurance and deductibles could help frame the net exposure.</w:t>
      </w:r>
    </w:p>
    <w:p>
      <w:pPr>
        <w:numPr>
          <w:ilvl w:val="0"/>
          <w:numId w:val="1003"/>
        </w:numPr>
      </w:pPr>
      <w:r>
        <w:rPr>
          <w:b/>
          <w:bCs/>
        </w:rPr>
        <w:t xml:space="preserve">Has the incident affected sales or persistency?</w:t>
      </w:r>
      <w:r>
        <w:br/>
      </w:r>
      <w:r>
        <w:t xml:space="preserve">The near-term financial cost may be manageable, but customer trust and agency relationships matter more to long-term value.</w:t>
      </w:r>
    </w:p>
    <w:p>
      <w:pPr>
        <w:numPr>
          <w:ilvl w:val="0"/>
          <w:numId w:val="1003"/>
        </w:numPr>
      </w:pPr>
      <w:r>
        <w:rPr>
          <w:b/>
          <w:bCs/>
        </w:rPr>
        <w:t xml:space="preserve">When will affected online services fully return?</w:t>
      </w:r>
      <w:r>
        <w:br/>
      </w:r>
      <w:r>
        <w:t xml:space="preserve">Certain customer-facing services remained unavailable after the incident, although claims and other procedures continued through call centers. (</w:t>
      </w:r>
      <w:hyperlink r:id="rId17">
        <w:r>
          <w:rPr>
            <w:rStyle w:val="Hyperlink"/>
          </w:rPr>
          <w:t xml:space="preserve">aflac.co.jp</w:t>
        </w:r>
      </w:hyperlink>
      <w:r>
        <w:t xml:space="preserve">)</w:t>
      </w:r>
    </w:p>
    <w:p>
      <w:pPr>
        <w:pStyle w:val="FirstParagraph"/>
      </w:pPr>
      <w:r>
        <w:t xml:space="preserve">A reassuring update—contained scope, no material operational disruption and manageable remediation costs—could matter more for the stock than a small EPS beat.</w:t>
      </w:r>
    </w:p>
    <w:bookmarkEnd w:id="18"/>
    <w:bookmarkStart w:id="19" w:name="X7272e78bff301b785f43301eee0cc17189ae178"/>
    <w:p>
      <w:pPr>
        <w:pStyle w:val="Heading2"/>
      </w:pPr>
      <w:r>
        <w:t xml:space="preserve">3. U.S. growth is improving, but the mix matters</w:t>
      </w:r>
    </w:p>
    <w:p>
      <w:pPr>
        <w:pStyle w:val="FirstParagraph"/>
      </w:pPr>
      <w:r>
        <w:t xml:space="preserve">Aflac U.S. entered Q2 with:</w:t>
      </w:r>
    </w:p>
    <w:p>
      <w:pPr>
        <w:pStyle w:val="Compact"/>
        <w:numPr>
          <w:ilvl w:val="0"/>
          <w:numId w:val="1004"/>
        </w:numPr>
      </w:pPr>
      <w:r>
        <w:t xml:space="preserve">Net earned premiums up</w:t>
      </w:r>
      <w:r>
        <w:t xml:space="preserve"> </w:t>
      </w:r>
      <w:r>
        <w:rPr>
          <w:b/>
          <w:bCs/>
        </w:rPr>
        <w:t xml:space="preserve">3.5%</w:t>
      </w:r>
    </w:p>
    <w:p>
      <w:pPr>
        <w:pStyle w:val="Compact"/>
        <w:numPr>
          <w:ilvl w:val="0"/>
          <w:numId w:val="1004"/>
        </w:numPr>
      </w:pPr>
      <w:r>
        <w:t xml:space="preserve">Sales up</w:t>
      </w:r>
      <w:r>
        <w:t xml:space="preserve"> </w:t>
      </w:r>
      <w:r>
        <w:rPr>
          <w:b/>
          <w:bCs/>
        </w:rPr>
        <w:t xml:space="preserve">2.9%</w:t>
      </w:r>
    </w:p>
    <w:p>
      <w:pPr>
        <w:pStyle w:val="Compact"/>
        <w:numPr>
          <w:ilvl w:val="0"/>
          <w:numId w:val="1004"/>
        </w:numPr>
      </w:pPr>
      <w:r>
        <w:t xml:space="preserve">Persistency of</w:t>
      </w:r>
      <w:r>
        <w:t xml:space="preserve"> </w:t>
      </w:r>
      <w:r>
        <w:rPr>
          <w:b/>
          <w:bCs/>
        </w:rPr>
        <w:t xml:space="preserve">79.3%</w:t>
      </w:r>
    </w:p>
    <w:p>
      <w:pPr>
        <w:pStyle w:val="Compact"/>
        <w:numPr>
          <w:ilvl w:val="0"/>
          <w:numId w:val="1004"/>
        </w:numPr>
      </w:pPr>
      <w:r>
        <w:t xml:space="preserve">A</w:t>
      </w:r>
      <w:r>
        <w:t xml:space="preserve"> </w:t>
      </w:r>
      <w:r>
        <w:rPr>
          <w:b/>
          <w:bCs/>
        </w:rPr>
        <w:t xml:space="preserve">47.2%</w:t>
      </w:r>
      <w:r>
        <w:t xml:space="preserve"> </w:t>
      </w:r>
      <w:r>
        <w:t xml:space="preserve">benefit ratio</w:t>
      </w:r>
    </w:p>
    <w:p>
      <w:pPr>
        <w:pStyle w:val="Compact"/>
        <w:numPr>
          <w:ilvl w:val="0"/>
          <w:numId w:val="1004"/>
        </w:numPr>
      </w:pPr>
      <w:r>
        <w:t xml:space="preserve">A</w:t>
      </w:r>
      <w:r>
        <w:t xml:space="preserve"> </w:t>
      </w:r>
      <w:r>
        <w:rPr>
          <w:b/>
          <w:bCs/>
        </w:rPr>
        <w:t xml:space="preserve">38.3%</w:t>
      </w:r>
      <w:r>
        <w:t xml:space="preserve"> </w:t>
      </w:r>
      <w:r>
        <w:t xml:space="preserve">expense ratio</w:t>
      </w:r>
    </w:p>
    <w:p>
      <w:pPr>
        <w:pStyle w:val="Compact"/>
        <w:numPr>
          <w:ilvl w:val="0"/>
          <w:numId w:val="1004"/>
        </w:numPr>
      </w:pPr>
      <w:r>
        <w:t xml:space="preserve">A</w:t>
      </w:r>
      <w:r>
        <w:t xml:space="preserve"> </w:t>
      </w:r>
      <w:r>
        <w:rPr>
          <w:b/>
          <w:bCs/>
        </w:rPr>
        <w:t xml:space="preserve">20.4%</w:t>
      </w:r>
      <w:r>
        <w:t xml:space="preserve"> </w:t>
      </w:r>
      <w:r>
        <w:t xml:space="preserve">pretax margin (</w:t>
      </w:r>
      <w:hyperlink r:id="rId12">
        <w:r>
          <w:rPr>
            <w:rStyle w:val="Hyperlink"/>
          </w:rPr>
          <w:t xml:space="preserve">s24.q4cdn.com</w:t>
        </w:r>
      </w:hyperlink>
      <w:r>
        <w:t xml:space="preserve">)</w:t>
      </w:r>
    </w:p>
    <w:p>
      <w:pPr>
        <w:pStyle w:val="FirstParagraph"/>
      </w:pPr>
      <w:r>
        <w:t xml:space="preserve">The strongest growth has come from group voluntary benefits, dental and vision, and group life and disability. By contrast, management described the traditional agent-led business as roughly flat to slightly down.</w:t>
      </w:r>
    </w:p>
    <w:p>
      <w:pPr>
        <w:pStyle w:val="BodyText"/>
      </w:pPr>
      <w:r>
        <w:t xml:space="preserve">That creates two tests:</w:t>
      </w:r>
    </w:p>
    <w:p>
      <w:pPr>
        <w:pStyle w:val="Compact"/>
        <w:numPr>
          <w:ilvl w:val="0"/>
          <w:numId w:val="1005"/>
        </w:numPr>
      </w:pPr>
      <w:r>
        <w:rPr>
          <w:b/>
          <w:bCs/>
        </w:rPr>
        <w:t xml:space="preserve">Can group growth continue without materially diluting margins?</w:t>
      </w:r>
    </w:p>
    <w:p>
      <w:pPr>
        <w:pStyle w:val="Compact"/>
        <w:numPr>
          <w:ilvl w:val="0"/>
          <w:numId w:val="1005"/>
        </w:numPr>
      </w:pPr>
      <w:r>
        <w:rPr>
          <w:b/>
          <w:bCs/>
        </w:rPr>
        <w:t xml:space="preserve">Can improvements in recruiting, agent conversion and enrollment technology stabilize the traditional franchise?</w:t>
      </w:r>
    </w:p>
    <w:p>
      <w:pPr>
        <w:pStyle w:val="FirstParagraph"/>
      </w:pPr>
      <w:r>
        <w:t xml:space="preserve">Management’s full-year U.S. benefit-ratio range is 48%–52%, so some increase from Q1’s 47.2% should be expected. Group disability can also be volatile quarter to quarter. The more important combination is premium growth around 3%–4%, an expense ratio inside the 36%–39% range, and a pretax margin around 20% or better. (</w:t>
      </w:r>
      <w:hyperlink r:id="rId14">
        <w:r>
          <w:rPr>
            <w:rStyle w:val="Hyperlink"/>
          </w:rPr>
          <w:t xml:space="preserve">sec.gov</w:t>
        </w:r>
      </w:hyperlink>
      <w:r>
        <w:t xml:space="preserve">)</w:t>
      </w:r>
    </w:p>
    <w:bookmarkEnd w:id="19"/>
    <w:bookmarkStart w:id="20" w:name="X5fa55094fb470ec75432483d2db2fa9afd49b1a"/>
    <w:p>
      <w:pPr>
        <w:pStyle w:val="Heading2"/>
      </w:pPr>
      <w:r>
        <w:t xml:space="preserve">4. Look through the headline EPS number</w:t>
      </w:r>
    </w:p>
    <w:p>
      <w:pPr>
        <w:pStyle w:val="FirstParagraph"/>
      </w:pPr>
      <w:r>
        <w:t xml:space="preserve">Q1 illustrated why AFL’s reported EPS requires normalization:</w:t>
      </w:r>
    </w:p>
    <w:p>
      <w:pPr>
        <w:pStyle w:val="Compact"/>
        <w:numPr>
          <w:ilvl w:val="0"/>
          <w:numId w:val="1006"/>
        </w:numPr>
      </w:pPr>
      <w:r>
        <w:t xml:space="preserve">Adjusted earnings declined</w:t>
      </w:r>
      <w:r>
        <w:t xml:space="preserve"> </w:t>
      </w:r>
      <w:r>
        <w:rPr>
          <w:b/>
          <w:bCs/>
        </w:rPr>
        <w:t xml:space="preserve">0.6%</w:t>
      </w:r>
      <w:r>
        <w:t xml:space="preserve">, but adjusted EPS increased</w:t>
      </w:r>
      <w:r>
        <w:t xml:space="preserve"> </w:t>
      </w:r>
      <w:r>
        <w:rPr>
          <w:b/>
          <w:bCs/>
        </w:rPr>
        <w:t xml:space="preserve">5.4%</w:t>
      </w:r>
      <w:r>
        <w:t xml:space="preserve">.</w:t>
      </w:r>
    </w:p>
    <w:p>
      <w:pPr>
        <w:pStyle w:val="Compact"/>
        <w:numPr>
          <w:ilvl w:val="0"/>
          <w:numId w:val="1006"/>
        </w:numPr>
      </w:pPr>
      <w:r>
        <w:t xml:space="preserve">Diluted shares were down</w:t>
      </w:r>
      <w:r>
        <w:t xml:space="preserve"> </w:t>
      </w:r>
      <w:r>
        <w:rPr>
          <w:b/>
          <w:bCs/>
        </w:rPr>
        <w:t xml:space="preserve">5.9%</w:t>
      </w:r>
      <w:r>
        <w:t xml:space="preserve"> </w:t>
      </w:r>
      <w:r>
        <w:t xml:space="preserve">year over year.</w:t>
      </w:r>
    </w:p>
    <w:p>
      <w:pPr>
        <w:pStyle w:val="Compact"/>
        <w:numPr>
          <w:ilvl w:val="0"/>
          <w:numId w:val="1006"/>
        </w:numPr>
      </w:pPr>
      <w:r>
        <w:t xml:space="preserve">Variable investment income was $14 million below Aflac’s long-term expectation.</w:t>
      </w:r>
    </w:p>
    <w:p>
      <w:pPr>
        <w:pStyle w:val="Compact"/>
        <w:numPr>
          <w:ilvl w:val="0"/>
          <w:numId w:val="1006"/>
        </w:numPr>
      </w:pPr>
      <w:r>
        <w:t xml:space="preserve">Benefit results were helped by reserve remeasurement gains. (</w:t>
      </w:r>
      <w:hyperlink r:id="rId12">
        <w:r>
          <w:rPr>
            <w:rStyle w:val="Hyperlink"/>
          </w:rPr>
          <w:t xml:space="preserve">s24.q4cdn.com</w:t>
        </w:r>
      </w:hyperlink>
      <w:r>
        <w:t xml:space="preserve">)</w:t>
      </w:r>
    </w:p>
    <w:p>
      <w:pPr>
        <w:pStyle w:val="FirstParagraph"/>
      </w:pPr>
      <w:r>
        <w:t xml:space="preserve">Consequently, investors should compare:</w:t>
      </w:r>
    </w:p>
    <w:p>
      <w:pPr>
        <w:pStyle w:val="Compact"/>
        <w:numPr>
          <w:ilvl w:val="0"/>
          <w:numId w:val="1007"/>
        </w:numPr>
      </w:pPr>
      <w:r>
        <w:t xml:space="preserve">Adjusted earnings</w:t>
      </w:r>
      <w:r>
        <w:t xml:space="preserve"> </w:t>
      </w:r>
      <w:r>
        <w:rPr>
          <w:b/>
          <w:bCs/>
        </w:rPr>
        <w:t xml:space="preserve">in dollars</w:t>
      </w:r>
      <w:r>
        <w:t xml:space="preserve">, not only per share.</w:t>
      </w:r>
    </w:p>
    <w:p>
      <w:pPr>
        <w:pStyle w:val="Compact"/>
        <w:numPr>
          <w:ilvl w:val="0"/>
          <w:numId w:val="1007"/>
        </w:numPr>
      </w:pPr>
      <w:r>
        <w:t xml:space="preserve">Currency-neutral Japan earnings.</w:t>
      </w:r>
    </w:p>
    <w:p>
      <w:pPr>
        <w:pStyle w:val="Compact"/>
        <w:numPr>
          <w:ilvl w:val="0"/>
          <w:numId w:val="1007"/>
        </w:numPr>
      </w:pPr>
      <w:r>
        <w:t xml:space="preserve">Benefit ratios before unusual reserve effects.</w:t>
      </w:r>
    </w:p>
    <w:p>
      <w:pPr>
        <w:pStyle w:val="Compact"/>
        <w:numPr>
          <w:ilvl w:val="0"/>
          <w:numId w:val="1007"/>
        </w:numPr>
      </w:pPr>
      <w:r>
        <w:t xml:space="preserve">Variable investment income versus management’s long-term assumption.</w:t>
      </w:r>
    </w:p>
    <w:p>
      <w:pPr>
        <w:pStyle w:val="Compact"/>
        <w:numPr>
          <w:ilvl w:val="0"/>
          <w:numId w:val="1007"/>
        </w:numPr>
      </w:pPr>
      <w:r>
        <w:t xml:space="preserve">Corporate and Other earnings, which management previously expected to be slightly negative in Q2.</w:t>
      </w:r>
    </w:p>
    <w:p>
      <w:pPr>
        <w:pStyle w:val="FirstParagraph"/>
      </w:pPr>
      <w:r>
        <w:t xml:space="preserve">A $1.76 result with clean underwriting, strong sales and manageable cyber costs could be better than a $1.82 result driven by reserve or investment variability.</w:t>
      </w:r>
    </w:p>
    <w:bookmarkEnd w:id="20"/>
    <w:bookmarkStart w:id="21" w:name="Xbe62497f8bb5b445ed4a530af9f681af5f6bba4"/>
    <w:p>
      <w:pPr>
        <w:pStyle w:val="Heading2"/>
      </w:pPr>
      <w:r>
        <w:t xml:space="preserve">5. Capital return remains a major part of the thesis</w:t>
      </w:r>
    </w:p>
    <w:p>
      <w:pPr>
        <w:pStyle w:val="FirstParagraph"/>
      </w:pPr>
      <w:r>
        <w:t xml:space="preserve">Aflac returned</w:t>
      </w:r>
      <w:r>
        <w:t xml:space="preserve"> </w:t>
      </w:r>
      <w:r>
        <w:rPr>
          <w:b/>
          <w:bCs/>
        </w:rPr>
        <w:t xml:space="preserve">$1.3 billion</w:t>
      </w:r>
      <w:r>
        <w:t xml:space="preserve"> </w:t>
      </w:r>
      <w:r>
        <w:t xml:space="preserve">to shareholders in Q1, including $1 billion of repurchases and $315 million of dividends. The buyback reduced the share count sufficiently to turn nearly flat adjusted earnings into mid-single-digit EPS growth. (</w:t>
      </w:r>
      <w:hyperlink r:id="rId12">
        <w:r>
          <w:rPr>
            <w:rStyle w:val="Hyperlink"/>
          </w:rPr>
          <w:t xml:space="preserve">s24.q4cdn.com</w:t>
        </w:r>
      </w:hyperlink>
      <w:r>
        <w:t xml:space="preserve">)</w:t>
      </w:r>
    </w:p>
    <w:p>
      <w:pPr>
        <w:pStyle w:val="BodyText"/>
      </w:pPr>
      <w:r>
        <w:t xml:space="preserve">The market will look for:</w:t>
      </w:r>
    </w:p>
    <w:p>
      <w:pPr>
        <w:pStyle w:val="Compact"/>
        <w:numPr>
          <w:ilvl w:val="0"/>
          <w:numId w:val="1008"/>
        </w:numPr>
      </w:pPr>
      <w:r>
        <w:t xml:space="preserve">Q2 repurchase volume.</w:t>
      </w:r>
    </w:p>
    <w:p>
      <w:pPr>
        <w:pStyle w:val="Compact"/>
        <w:numPr>
          <w:ilvl w:val="0"/>
          <w:numId w:val="1008"/>
        </w:numPr>
      </w:pPr>
      <w:r>
        <w:t xml:space="preserve">Any change in capital deployment following the Japan cyber incident.</w:t>
      </w:r>
    </w:p>
    <w:p>
      <w:pPr>
        <w:pStyle w:val="Compact"/>
        <w:numPr>
          <w:ilvl w:val="0"/>
          <w:numId w:val="1008"/>
        </w:numPr>
      </w:pPr>
      <w:r>
        <w:t xml:space="preserve">Updates to Japan’s economic solvency ratio and U.S. RBC ratio.</w:t>
      </w:r>
    </w:p>
    <w:p>
      <w:pPr>
        <w:pStyle w:val="Compact"/>
        <w:numPr>
          <w:ilvl w:val="0"/>
          <w:numId w:val="1008"/>
        </w:numPr>
      </w:pPr>
      <w:r>
        <w:t xml:space="preserve">Commercial-real-estate impairments or credit losses.</w:t>
      </w:r>
    </w:p>
    <w:p>
      <w:pPr>
        <w:pStyle w:val="Compact"/>
        <w:numPr>
          <w:ilvl w:val="0"/>
          <w:numId w:val="1008"/>
        </w:numPr>
      </w:pPr>
      <w:r>
        <w:t xml:space="preserve">Further third-party reinsurance transactions in Japan.</w:t>
      </w:r>
    </w:p>
    <w:p>
      <w:pPr>
        <w:pStyle w:val="FirstParagraph"/>
      </w:pPr>
      <w:r>
        <w:t xml:space="preserve">A slower buyback would not automatically be negative if capital is being deployed into attractive reinsurance opportunities. But an unexplained slowdown, particularly alongside rising cyber or credit costs, would weaken the near-term EPS story.</w:t>
      </w:r>
    </w:p>
    <w:bookmarkEnd w:id="21"/>
    <w:bookmarkStart w:id="25" w:name="potential-outcomes"/>
    <w:p>
      <w:pPr>
        <w:pStyle w:val="Heading2"/>
      </w:pPr>
      <w:r>
        <w:t xml:space="preserve">Potential outcomes</w:t>
      </w:r>
    </w:p>
    <w:bookmarkStart w:id="22" w:name="bull-case"/>
    <w:p>
      <w:pPr>
        <w:pStyle w:val="Heading3"/>
      </w:pPr>
      <w:r>
        <w:t xml:space="preserve">Bull case</w:t>
      </w:r>
    </w:p>
    <w:p>
      <w:pPr>
        <w:pStyle w:val="Compact"/>
        <w:numPr>
          <w:ilvl w:val="0"/>
          <w:numId w:val="1009"/>
        </w:numPr>
      </w:pPr>
      <w:r>
        <w:t xml:space="preserve">Adjusted EPS above $1.80 with limited unusual benefits.</w:t>
      </w:r>
    </w:p>
    <w:p>
      <w:pPr>
        <w:pStyle w:val="Compact"/>
        <w:numPr>
          <w:ilvl w:val="0"/>
          <w:numId w:val="1009"/>
        </w:numPr>
      </w:pPr>
      <w:r>
        <w:t xml:space="preserve">Japan sales around or above ¥20 billion.</w:t>
      </w:r>
    </w:p>
    <w:p>
      <w:pPr>
        <w:pStyle w:val="Compact"/>
        <w:numPr>
          <w:ilvl w:val="0"/>
          <w:numId w:val="1009"/>
        </w:numPr>
      </w:pPr>
      <w:r>
        <w:t xml:space="preserve">Japan’s benefit ratio remains at or below 63%.</w:t>
      </w:r>
    </w:p>
    <w:p>
      <w:pPr>
        <w:pStyle w:val="Compact"/>
        <w:numPr>
          <w:ilvl w:val="0"/>
          <w:numId w:val="1009"/>
        </w:numPr>
      </w:pPr>
      <w:r>
        <w:t xml:space="preserve">U.S. premium growth stays near 3%–4% with a roughly 20% margin.</w:t>
      </w:r>
    </w:p>
    <w:p>
      <w:pPr>
        <w:pStyle w:val="Compact"/>
        <w:numPr>
          <w:ilvl w:val="0"/>
          <w:numId w:val="1009"/>
        </w:numPr>
      </w:pPr>
      <w:r>
        <w:t xml:space="preserve">No material financial or customer-retention impact from the cyber incident.</w:t>
      </w:r>
    </w:p>
    <w:p>
      <w:pPr>
        <w:pStyle w:val="Compact"/>
        <w:numPr>
          <w:ilvl w:val="0"/>
          <w:numId w:val="1009"/>
        </w:numPr>
      </w:pPr>
      <w:r>
        <w:t xml:space="preserve">Continued aggressive repurchases.</w:t>
      </w:r>
    </w:p>
    <w:bookmarkEnd w:id="22"/>
    <w:bookmarkStart w:id="23" w:name="base-case"/>
    <w:p>
      <w:pPr>
        <w:pStyle w:val="Heading3"/>
      </w:pPr>
      <w:r>
        <w:t xml:space="preserve">Base case</w:t>
      </w:r>
    </w:p>
    <w:p>
      <w:pPr>
        <w:pStyle w:val="Compact"/>
        <w:numPr>
          <w:ilvl w:val="0"/>
          <w:numId w:val="1010"/>
        </w:numPr>
      </w:pPr>
      <w:r>
        <w:t xml:space="preserve">Adjusted EPS of approximately</w:t>
      </w:r>
      <w:r>
        <w:t xml:space="preserve"> </w:t>
      </w:r>
      <m:oMath>
        <m:r>
          <m:t>1.75</m:t>
        </m:r>
        <m:r>
          <m:rPr>
            <m:sty m:val="p"/>
          </m:rPr>
          <m:t>–</m:t>
        </m:r>
      </m:oMath>
      <w:r>
        <w:t xml:space="preserve">1.78.</w:t>
      </w:r>
    </w:p>
    <w:p>
      <w:pPr>
        <w:pStyle w:val="Compact"/>
        <w:numPr>
          <w:ilvl w:val="0"/>
          <w:numId w:val="1010"/>
        </w:numPr>
      </w:pPr>
      <w:r>
        <w:t xml:space="preserve">Strong Japan sales but continuing premium contraction.</w:t>
      </w:r>
    </w:p>
    <w:p>
      <w:pPr>
        <w:pStyle w:val="Compact"/>
        <w:numPr>
          <w:ilvl w:val="0"/>
          <w:numId w:val="1010"/>
        </w:numPr>
      </w:pPr>
      <w:r>
        <w:t xml:space="preserve">Normalization in benefit ratios from favorable Q1 levels.</w:t>
      </w:r>
    </w:p>
    <w:p>
      <w:pPr>
        <w:pStyle w:val="Compact"/>
        <w:numPr>
          <w:ilvl w:val="0"/>
          <w:numId w:val="1010"/>
        </w:numPr>
      </w:pPr>
      <w:r>
        <w:t xml:space="preserve">Solid U.S. growth offset by expenses and slightly negative Corporate and Other earnings.</w:t>
      </w:r>
    </w:p>
    <w:p>
      <w:pPr>
        <w:pStyle w:val="Compact"/>
        <w:numPr>
          <w:ilvl w:val="0"/>
          <w:numId w:val="1010"/>
        </w:numPr>
      </w:pPr>
      <w:r>
        <w:t xml:space="preserve">Cyber costs disclosed but described as manageable.</w:t>
      </w:r>
    </w:p>
    <w:bookmarkEnd w:id="23"/>
    <w:bookmarkStart w:id="24" w:name="bear-case"/>
    <w:p>
      <w:pPr>
        <w:pStyle w:val="Heading3"/>
      </w:pPr>
      <w:r>
        <w:t xml:space="preserve">Bear case</w:t>
      </w:r>
    </w:p>
    <w:p>
      <w:pPr>
        <w:pStyle w:val="Compact"/>
        <w:numPr>
          <w:ilvl w:val="0"/>
          <w:numId w:val="1011"/>
        </w:numPr>
      </w:pPr>
      <w:r>
        <w:t xml:space="preserve">EPS miss accompanied by weaker adjusted earnings in dollars.</w:t>
      </w:r>
    </w:p>
    <w:p>
      <w:pPr>
        <w:pStyle w:val="Compact"/>
        <w:numPr>
          <w:ilvl w:val="0"/>
          <w:numId w:val="1011"/>
        </w:numPr>
      </w:pPr>
      <w:r>
        <w:t xml:space="preserve">Material deceleration in Japan sales or further persistency erosion.</w:t>
      </w:r>
    </w:p>
    <w:p>
      <w:pPr>
        <w:pStyle w:val="Compact"/>
        <w:numPr>
          <w:ilvl w:val="0"/>
          <w:numId w:val="1011"/>
        </w:numPr>
      </w:pPr>
      <w:r>
        <w:t xml:space="preserve">Cyber-related costs, regulatory action or operational disruption exceeding expectations.</w:t>
      </w:r>
    </w:p>
    <w:p>
      <w:pPr>
        <w:pStyle w:val="Compact"/>
        <w:numPr>
          <w:ilvl w:val="0"/>
          <w:numId w:val="1011"/>
        </w:numPr>
      </w:pPr>
      <w:r>
        <w:t xml:space="preserve">U.S. expense growth outpaces premiums.</w:t>
      </w:r>
    </w:p>
    <w:p>
      <w:pPr>
        <w:pStyle w:val="Compact"/>
        <w:numPr>
          <w:ilvl w:val="0"/>
          <w:numId w:val="1011"/>
        </w:numPr>
      </w:pPr>
      <w:r>
        <w:t xml:space="preserve">Higher commercial-real-estate impairments or reduced capital return.</w:t>
      </w:r>
    </w:p>
    <w:bookmarkEnd w:id="24"/>
    <w:bookmarkEnd w:id="25"/>
    <w:bookmarkStart w:id="26" w:name="bottom-line"/>
    <w:p>
      <w:pPr>
        <w:pStyle w:val="Heading2"/>
      </w:pPr>
      <w:r>
        <w:t xml:space="preserve">Bottom line</w:t>
      </w:r>
    </w:p>
    <w:p>
      <w:pPr>
        <w:pStyle w:val="FirstParagraph"/>
      </w:pPr>
      <w:r>
        <w:rPr>
          <w:b/>
          <w:bCs/>
        </w:rPr>
        <w:t xml:space="preserve">The key issue is not whether AFL beats consensus by a few cents.</w:t>
      </w:r>
      <w:r>
        <w:t xml:space="preserve"> </w:t>
      </w:r>
      <w:r>
        <w:t xml:space="preserve">Investors need evidence that Japan’s new-product momentum is moving the company toward eventual premium stabilization, that U.S. growth can remain profitable, and that the Japan cyber incident is contained financially and operationally.</w:t>
      </w:r>
    </w:p>
    <w:p>
      <w:pPr>
        <w:pStyle w:val="BodyText"/>
      </w:pPr>
      <w:r>
        <w:t xml:space="preserve">Given the stock’s level entering the report, the strongest setup would be a clean EPS beat combined with</w:t>
      </w:r>
      <w:r>
        <w:t xml:space="preserve"> </w:t>
      </w:r>
      <w:r>
        <w:rPr>
          <w:b/>
          <w:bCs/>
        </w:rPr>
        <w:t xml:space="preserve">Japan sales near ¥20 billion, stable underwriting guidance, an uneventful cyber update and continued buybacks</w:t>
      </w:r>
      <w:r>
        <w:t xml:space="preserve">. Conversely, a headline beat may not be enough if it relies on reserve variability while Japan’s sales slow or management cannot frame the cyber exposure.</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aflac.com/press-releases/press-release-details/2026/Aflac-Incorporated-to-Release-Second-Quarter-Results-and-CFO-Video-Update-on-August-6-2026-and-Host-Webcast-on-August-7-2026/default.aspx?utm_source=openai" TargetMode="External" /><Relationship Type="http://schemas.openxmlformats.org/officeDocument/2006/relationships/hyperlink" Id="rId12" Target="https://s24.q4cdn.com/367535798/files/doc_financials/2026/q1/Earnings-Release-1QT-2026-4-29-26.pdf" TargetMode="External" /><Relationship Type="http://schemas.openxmlformats.org/officeDocument/2006/relationships/hyperlink" Id="rId17" Target="https://www.aflac.co.jp/info/yorisou_faq.html" TargetMode="External" /><Relationship Type="http://schemas.openxmlformats.org/officeDocument/2006/relationships/hyperlink" Id="rId10" Target="https://www.benzinga.com/quote/AFL/earnings" TargetMode="External" /><Relationship Type="http://schemas.openxmlformats.org/officeDocument/2006/relationships/hyperlink" Id="rId14" Target="https://www.sec.gov/Archives/edgar/data/4977/000162828026019627/afl12312510k.pdf"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aflac.com/press-releases/press-release-details/2026/Aflac-Incorporated-to-Release-Second-Quarter-Results-and-CFO-Video-Update-on-August-6-2026-and-Host-Webcast-on-August-7-2026/default.aspx?utm_source=openai" TargetMode="External" /><Relationship Type="http://schemas.openxmlformats.org/officeDocument/2006/relationships/hyperlink" Id="rId12" Target="https://s24.q4cdn.com/367535798/files/doc_financials/2026/q1/Earnings-Release-1QT-2026-4-29-26.pdf" TargetMode="External" /><Relationship Type="http://schemas.openxmlformats.org/officeDocument/2006/relationships/hyperlink" Id="rId17" Target="https://www.aflac.co.jp/info/yorisou_faq.html" TargetMode="External" /><Relationship Type="http://schemas.openxmlformats.org/officeDocument/2006/relationships/hyperlink" Id="rId10" Target="https://www.benzinga.com/quote/AFL/earnings" TargetMode="External" /><Relationship Type="http://schemas.openxmlformats.org/officeDocument/2006/relationships/hyperlink" Id="rId14" Target="https://www.sec.gov/Archives/edgar/data/4977/000162828026019627/afl12312510k.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2026-08-06T01:18:23Z</dcterms:created>
  <dcterms:modified xsi:type="dcterms:W3CDTF">2026-08-06T01:18:23Z</dcterms:modified>
</cp:coreProperties>
</file>

<file path=docProps/custom.xml><?xml version="1.0" encoding="utf-8"?>
<Properties xmlns="http://schemas.openxmlformats.org/officeDocument/2006/custom-properties" xmlns:vt="http://schemas.openxmlformats.org/officeDocument/2006/docPropsVTypes"/>
</file>