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aflac-nyse-afl--2q26-earnings-preview"/>
    <w:p>
      <w:pPr>
        <w:pStyle w:val="Heading1"/>
      </w:pPr>
      <w:r>
        <w:t xml:space="preserve">Aflac (NYSE: AFL) — 2Q26 Earnings Preview</w:t>
      </w:r>
    </w:p>
    <w:p>
      <w:pPr>
        <w:pStyle w:val="BlockText"/>
      </w:pPr>
      <w:r>
        <w:rPr>
          <w:b/>
          <w:bCs/>
        </w:rPr>
        <w:t xml:space="preserve">Timing note:</w:t>
      </w:r>
      <w:r>
        <w:t xml:space="preserve"> </w:t>
      </w:r>
      <w:r>
        <w:t xml:space="preserve">The event date provided is</w:t>
      </w:r>
      <w:r>
        <w:t xml:space="preserve"> </w:t>
      </w:r>
      <w:r>
        <w:rPr>
          <w:b/>
          <w:bCs/>
        </w:rPr>
        <w:t xml:space="preserve">Thursday, August 6, 2026</w:t>
      </w:r>
      <w:r>
        <w:t xml:space="preserve">. As of that date, AFL’s 2Q26 earnings call is</w:t>
      </w:r>
      <w:r>
        <w:t xml:space="preserve"> </w:t>
      </w:r>
      <w:r>
        <w:rPr>
          <w:b/>
          <w:bCs/>
        </w:rPr>
        <w:t xml:space="preserve">today</w:t>
      </w:r>
      <w:r>
        <w:t xml:space="preserve">, rather than tomorrow. This preview is framed around the key issues investors should focus on for the report/call.</w:t>
      </w:r>
    </w:p>
    <w:bookmarkStart w:id="9" w:name="bottom-line"/>
    <w:p>
      <w:pPr>
        <w:pStyle w:val="Heading2"/>
      </w:pPr>
      <w:r>
        <w:t xml:space="preserve">Bottom line</w:t>
      </w:r>
    </w:p>
    <w:p>
      <w:pPr>
        <w:pStyle w:val="FirstParagraph"/>
      </w:pPr>
      <w:r>
        <w:t xml:space="preserve">Aflac enters 2Q26 with a constructive operating setup:</w:t>
      </w:r>
      <w:r>
        <w:t xml:space="preserve"> </w:t>
      </w:r>
      <w:r>
        <w:rPr>
          <w:b/>
          <w:bCs/>
        </w:rPr>
        <w:t xml:space="preserve">strong Japan sales momentum, steady U.S. premium growth, substantial excess capital, and ongoing share repurchases</w:t>
      </w:r>
      <w:r>
        <w:t xml:space="preserve">. The central question is whether these positives are translating into durable underlying earnings growth—or are being offset by pressure from Japan in-force premiums, U.S. expense investment, variable investment income, and a newly disclosed cyber incident at Aflac Japan.</w:t>
      </w:r>
    </w:p>
    <w:p>
      <w:pPr>
        <w:pStyle w:val="BodyText"/>
      </w:pPr>
      <w:r>
        <w:t xml:space="preserve">The stock closed at</w:t>
      </w:r>
      <w:r>
        <w:t xml:space="preserve"> </w:t>
      </w:r>
      <w:r>
        <w:rPr>
          <w:b/>
          <w:bCs/>
        </w:rPr>
        <w:t xml:space="preserve">$125.59 on August 5</w:t>
      </w:r>
      <w:r>
        <w:t xml:space="preserve">, up roughly</w:t>
      </w:r>
      <w:r>
        <w:t xml:space="preserve"> </w:t>
      </w:r>
      <w:r>
        <w:rPr>
          <w:b/>
          <w:bCs/>
        </w:rPr>
        <w:t xml:space="preserve">13.9% year to date</w:t>
      </w:r>
      <w:r>
        <w:t xml:space="preserve">, suggesting the market has already credited AFL for improved operating momentum and capital return. The call therefore matters at least as much as the headline adjusted EPS result: investors will be looking for confidence that favorable claims experience, sales gains, and capital flexibility can persist.</w:t>
      </w:r>
    </w:p>
    <w:bookmarkEnd w:id="9"/>
    <w:bookmarkStart w:id="15" w:name="what-matters-most-this-quarter"/>
    <w:p>
      <w:pPr>
        <w:pStyle w:val="Heading2"/>
      </w:pPr>
      <w:r>
        <w:t xml:space="preserve">What matters most this quarter</w:t>
      </w:r>
    </w:p>
    <w:bookmarkStart w:id="10" w:name="X8eb1a5b4fa251e4d7e1169acbb6807f858637e7"/>
    <w:p>
      <w:pPr>
        <w:pStyle w:val="Heading3"/>
      </w:pPr>
      <w:r>
        <w:t xml:space="preserve">1. Japan: Can sales momentum begin to repair the premium base?</w:t>
      </w:r>
    </w:p>
    <w:p>
      <w:pPr>
        <w:pStyle w:val="FirstParagraph"/>
      </w:pPr>
      <w:r>
        <w:t xml:space="preserve">Japan remains the principal driver of AFL’s earnings power, and it is also the area where the distinction between</w:t>
      </w:r>
      <w:r>
        <w:t xml:space="preserve"> </w:t>
      </w:r>
      <w:r>
        <w:rPr>
          <w:b/>
          <w:bCs/>
        </w:rPr>
        <w:t xml:space="preserve">sales growth</w:t>
      </w:r>
      <w:r>
        <w:t xml:space="preserve"> </w:t>
      </w:r>
      <w:r>
        <w:t xml:space="preserve">and</w:t>
      </w:r>
      <w:r>
        <w:t xml:space="preserve"> </w:t>
      </w:r>
      <w:r>
        <w:rPr>
          <w:b/>
          <w:bCs/>
        </w:rPr>
        <w:t xml:space="preserve">in-force premium growth</w:t>
      </w:r>
      <w:r>
        <w:t xml:space="preserve"> </w:t>
      </w:r>
      <w:r>
        <w:t xml:space="preserve">is most important.</w:t>
      </w:r>
    </w:p>
    <w:p>
      <w:pPr>
        <w:pStyle w:val="BodyText"/>
      </w:pPr>
      <w:r>
        <w:t xml:space="preserve">In 1Q26, Aflac Japan posted:</w:t>
      </w:r>
    </w:p>
    <w:p>
      <w:pPr>
        <w:pStyle w:val="Compact"/>
        <w:numPr>
          <w:ilvl w:val="0"/>
          <w:numId w:val="1001"/>
        </w:numPr>
      </w:pPr>
      <w:r>
        <w:rPr>
          <w:b/>
          <w:bCs/>
        </w:rPr>
        <w:t xml:space="preserve">25.5% year-over-year growth in new annualized premium sales</w:t>
      </w:r>
      <w:r>
        <w:t xml:space="preserve"> </w:t>
      </w:r>
      <w:r>
        <w:t xml:space="preserve">to</w:t>
      </w:r>
      <w:r>
        <w:t xml:space="preserve"> </w:t>
      </w:r>
      <w:r>
        <w:rPr>
          <w:b/>
          <w:bCs/>
        </w:rPr>
        <w:t xml:space="preserve">¥17.7 billion</w:t>
      </w:r>
    </w:p>
    <w:p>
      <w:pPr>
        <w:pStyle w:val="Compact"/>
        <w:numPr>
          <w:ilvl w:val="0"/>
          <w:numId w:val="1001"/>
        </w:numPr>
      </w:pPr>
      <w:r>
        <w:rPr>
          <w:b/>
          <w:bCs/>
        </w:rPr>
        <w:t xml:space="preserve">8.3% growth in pretax adjusted earnings in yen</w:t>
      </w:r>
    </w:p>
    <w:p>
      <w:pPr>
        <w:pStyle w:val="Compact"/>
        <w:numPr>
          <w:ilvl w:val="0"/>
          <w:numId w:val="1001"/>
        </w:numPr>
      </w:pPr>
      <w:r>
        <w:t xml:space="preserve">A</w:t>
      </w:r>
      <w:r>
        <w:t xml:space="preserve"> </w:t>
      </w:r>
      <w:r>
        <w:rPr>
          <w:b/>
          <w:bCs/>
        </w:rPr>
        <w:t xml:space="preserve">35.0% pretax adjusted margin</w:t>
      </w:r>
      <w:r>
        <w:t xml:space="preserve">, up 320 basis points year over year</w:t>
      </w:r>
    </w:p>
    <w:p>
      <w:pPr>
        <w:pStyle w:val="Compact"/>
        <w:numPr>
          <w:ilvl w:val="0"/>
          <w:numId w:val="1001"/>
        </w:numPr>
      </w:pPr>
      <w:r>
        <w:rPr>
          <w:b/>
          <w:bCs/>
        </w:rPr>
        <w:t xml:space="preserve">92.8% premium persistency</w:t>
      </w:r>
    </w:p>
    <w:p>
      <w:pPr>
        <w:pStyle w:val="Compact"/>
        <w:numPr>
          <w:ilvl w:val="0"/>
          <w:numId w:val="1001"/>
        </w:numPr>
      </w:pPr>
      <w:r>
        <w:t xml:space="preserve">A</w:t>
      </w:r>
      <w:r>
        <w:t xml:space="preserve"> </w:t>
      </w:r>
      <w:r>
        <w:rPr>
          <w:b/>
          <w:bCs/>
        </w:rPr>
        <w:t xml:space="preserve">3.8% decline in reported net earned premiums in yen</w:t>
      </w:r>
      <w:r>
        <w:t xml:space="preserve">, partly reflecting reinsurance and limited-pay policies reaching paid-up status</w:t>
      </w:r>
    </w:p>
    <w:p>
      <w:pPr>
        <w:pStyle w:val="FirstParagraph"/>
      </w:pPr>
      <w:r>
        <w:t xml:space="preserve">The new medical product</w:t>
      </w:r>
      <w:r>
        <w:t xml:space="preserve"> </w:t>
      </w:r>
      <w:r>
        <w:rPr>
          <w:b/>
          <w:bCs/>
        </w:rPr>
        <w:t xml:space="preserve">Anshin Palette</w:t>
      </w:r>
      <w:r>
        <w:t xml:space="preserve">, cancer product</w:t>
      </w:r>
      <w:r>
        <w:t xml:space="preserve"> </w:t>
      </w:r>
      <w:r>
        <w:rPr>
          <w:b/>
          <w:bCs/>
        </w:rPr>
        <w:t xml:space="preserve">Miraito</w:t>
      </w:r>
      <w:r>
        <w:t xml:space="preserve">, and first-sector offering</w:t>
      </w:r>
      <w:r>
        <w:t xml:space="preserve"> </w:t>
      </w:r>
      <w:r>
        <w:rPr>
          <w:b/>
          <w:bCs/>
        </w:rPr>
        <w:t xml:space="preserve">Tsumitasu</w:t>
      </w:r>
      <w:r>
        <w:t xml:space="preserve"> </w:t>
      </w:r>
      <w:r>
        <w:t xml:space="preserve">are driving sales. Management’s stated ambition is approximately</w:t>
      </w:r>
      <w:r>
        <w:t xml:space="preserve"> </w:t>
      </w:r>
      <w:r>
        <w:rPr>
          <w:b/>
          <w:bCs/>
        </w:rPr>
        <w:t xml:space="preserve">¥80 billion of Japan sales for 2026</w:t>
      </w:r>
      <w:r>
        <w:t xml:space="preserve">, versus roughly ¥74 billion in 2025. That is meaningful progress, but management has also indicated that approximately</w:t>
      </w:r>
      <w:r>
        <w:t xml:space="preserve"> </w:t>
      </w:r>
      <w:r>
        <w:rPr>
          <w:b/>
          <w:bCs/>
        </w:rPr>
        <w:t xml:space="preserve">¥90 billion</w:t>
      </w:r>
      <w:r>
        <w:t xml:space="preserve"> </w:t>
      </w:r>
      <w:r>
        <w:t xml:space="preserve">of annual sales would be needed to get Japan earned premiums to roughly flat.</w:t>
      </w:r>
    </w:p>
    <w:p>
      <w:pPr>
        <w:pStyle w:val="BodyText"/>
      </w:pPr>
      <w:r>
        <w:rPr>
          <w:b/>
          <w:bCs/>
        </w:rPr>
        <w:t xml:space="preserve">What investors should watch:</w:t>
      </w:r>
    </w:p>
    <w:p>
      <w:pPr>
        <w:pStyle w:val="Compact"/>
        <w:numPr>
          <w:ilvl w:val="0"/>
          <w:numId w:val="1002"/>
        </w:numPr>
      </w:pPr>
      <w:r>
        <w:t xml:space="preserve">Is 2Q Japan sales growth still strong against a tougher prior-year comparison? In 2Q25, Japan sales increased</w:t>
      </w:r>
      <w:r>
        <w:t xml:space="preserve"> </w:t>
      </w:r>
      <w:r>
        <w:rPr>
          <w:b/>
          <w:bCs/>
        </w:rPr>
        <w:t xml:space="preserve">23.2%</w:t>
      </w:r>
      <w:r>
        <w:t xml:space="preserve"> </w:t>
      </w:r>
      <w:r>
        <w:t xml:space="preserve">to</w:t>
      </w:r>
      <w:r>
        <w:t xml:space="preserve"> </w:t>
      </w:r>
      <w:r>
        <w:rPr>
          <w:b/>
          <w:bCs/>
        </w:rPr>
        <w:t xml:space="preserve">¥20.7 billion</w:t>
      </w:r>
      <w:r>
        <w:t xml:space="preserve">.</w:t>
      </w:r>
    </w:p>
    <w:p>
      <w:pPr>
        <w:pStyle w:val="Compact"/>
        <w:numPr>
          <w:ilvl w:val="0"/>
          <w:numId w:val="1002"/>
        </w:numPr>
      </w:pPr>
      <w:r>
        <w:t xml:space="preserve">Does management maintain, raise, or temper its approximately ¥80 billion full-year sales aspiration?</w:t>
      </w:r>
    </w:p>
    <w:p>
      <w:pPr>
        <w:pStyle w:val="Compact"/>
        <w:numPr>
          <w:ilvl w:val="0"/>
          <w:numId w:val="1002"/>
        </w:numPr>
      </w:pPr>
      <w:r>
        <w:t xml:space="preserve">Is underlying earned-premium erosion still in the expected</w:t>
      </w:r>
      <w:r>
        <w:t xml:space="preserve"> </w:t>
      </w:r>
      <w:r>
        <w:rPr>
          <w:b/>
          <w:bCs/>
        </w:rPr>
        <w:t xml:space="preserve">1%–2%</w:t>
      </w:r>
      <w:r>
        <w:t xml:space="preserve"> </w:t>
      </w:r>
      <w:r>
        <w:t xml:space="preserve">range, or is it improving?</w:t>
      </w:r>
    </w:p>
    <w:p>
      <w:pPr>
        <w:pStyle w:val="Compact"/>
        <w:numPr>
          <w:ilvl w:val="0"/>
          <w:numId w:val="1002"/>
        </w:numPr>
      </w:pPr>
      <w:r>
        <w:t xml:space="preserve">Does persistency remain resilient amid lapse-and-reissue activity and rising Japanese interest rates?</w:t>
      </w:r>
    </w:p>
    <w:p>
      <w:pPr>
        <w:pStyle w:val="FirstParagraph"/>
      </w:pPr>
      <w:r>
        <w:rPr>
          <w:b/>
          <w:bCs/>
        </w:rPr>
        <w:t xml:space="preserve">Interpretation:</w:t>
      </w:r>
      <w:r>
        <w:t xml:space="preserve"> </w:t>
      </w:r>
      <w:r>
        <w:t xml:space="preserve">Strong sales are strategically important, but an earnings-positive rerating likely requires clearer evidence that sales can eventually stabilize—or reverse—the decline in the Japan in-force premium base.</w:t>
      </w:r>
    </w:p>
    <w:p>
      <w:r>
        <w:pict>
          <v:rect style="width:0;height:1.5pt" o:hralign="center" o:hrstd="t" o:hr="t"/>
        </w:pict>
      </w:r>
    </w:p>
    <w:bookmarkEnd w:id="10"/>
    <w:bookmarkStart w:id="11" w:name="Xf33430a1cc4ba0cb485f8114ebd5064441a99e0"/>
    <w:p>
      <w:pPr>
        <w:pStyle w:val="Heading3"/>
      </w:pPr>
      <w:r>
        <w:t xml:space="preserve">2. Japan claims: Is the favorable benefit ratio repeatable?</w:t>
      </w:r>
    </w:p>
    <w:p>
      <w:pPr>
        <w:pStyle w:val="FirstParagraph"/>
      </w:pPr>
      <w:r>
        <w:t xml:space="preserve">Aflac Japan’s 1Q26 benefit ratio was</w:t>
      </w:r>
      <w:r>
        <w:t xml:space="preserve"> </w:t>
      </w:r>
      <w:r>
        <w:rPr>
          <w:b/>
          <w:bCs/>
        </w:rPr>
        <w:t xml:space="preserve">62.9%</w:t>
      </w:r>
      <w:r>
        <w:t xml:space="preserve">, down 290 basis points year over year. That result was aided by favorable experience and reserve remeasurement gains; management estimated that gains exceeding its plan benefited the ratio by roughly</w:t>
      </w:r>
      <w:r>
        <w:t xml:space="preserve"> </w:t>
      </w:r>
      <w:r>
        <w:rPr>
          <w:b/>
          <w:bCs/>
        </w:rPr>
        <w:t xml:space="preserve">70 basis points</w:t>
      </w:r>
      <w:r>
        <w:t xml:space="preserve">.</w:t>
      </w:r>
    </w:p>
    <w:p>
      <w:pPr>
        <w:pStyle w:val="BodyText"/>
      </w:pPr>
      <w:r>
        <w:t xml:space="preserve">The company reaffirmed a</w:t>
      </w:r>
      <w:r>
        <w:t xml:space="preserve"> </w:t>
      </w:r>
      <w:r>
        <w:rPr>
          <w:b/>
          <w:bCs/>
        </w:rPr>
        <w:t xml:space="preserve">60%–63% full-year Japan benefit-ratio outlook</w:t>
      </w:r>
      <w:r>
        <w:t xml:space="preserve"> </w:t>
      </w:r>
      <w:r>
        <w:t xml:space="preserve">in the first-quarter call. That range remains a key earnings swing factor.</w:t>
      </w:r>
    </w:p>
    <w:p>
      <w:pPr>
        <w:pStyle w:val="BodyText"/>
      </w:pPr>
      <w:r>
        <w:rPr>
          <w:b/>
          <w:bCs/>
        </w:rPr>
        <w:t xml:space="preserve">Key questions for the call:</w:t>
      </w:r>
    </w:p>
    <w:p>
      <w:pPr>
        <w:pStyle w:val="Compact"/>
        <w:numPr>
          <w:ilvl w:val="0"/>
          <w:numId w:val="1003"/>
        </w:numPr>
      </w:pPr>
      <w:r>
        <w:t xml:space="preserve">Did favorable cancer and hospitalization claims trends continue into 2Q?</w:t>
      </w:r>
    </w:p>
    <w:p>
      <w:pPr>
        <w:pStyle w:val="Compact"/>
        <w:numPr>
          <w:ilvl w:val="0"/>
          <w:numId w:val="1003"/>
        </w:numPr>
      </w:pPr>
      <w:r>
        <w:t xml:space="preserve">How much of any benefit-ratio strength is recurring versus reserve remeasurement or mix effects?</w:t>
      </w:r>
    </w:p>
    <w:p>
      <w:pPr>
        <w:pStyle w:val="Compact"/>
        <w:numPr>
          <w:ilvl w:val="0"/>
          <w:numId w:val="1003"/>
        </w:numPr>
      </w:pPr>
      <w:r>
        <w:t xml:space="preserve">Is lapse-and-reissue activity shifting toward newer policies, which can reduce the immediate reserve-release benefit relative to lapses of older policies?</w:t>
      </w:r>
    </w:p>
    <w:p>
      <w:pPr>
        <w:pStyle w:val="Compact"/>
        <w:numPr>
          <w:ilvl w:val="0"/>
          <w:numId w:val="1003"/>
        </w:numPr>
      </w:pPr>
      <w:r>
        <w:t xml:space="preserve">Does management still see the current full-year benefit-ratio range as appropriate?</w:t>
      </w:r>
    </w:p>
    <w:p>
      <w:pPr>
        <w:pStyle w:val="FirstParagraph"/>
      </w:pPr>
      <w:r>
        <w:t xml:space="preserve">A result near the favorable end of the range would support upside to operating earnings. Conversely, an adverse claims normalization could quickly offset sales and investment-income strength.</w:t>
      </w:r>
    </w:p>
    <w:p>
      <w:r>
        <w:pict>
          <v:rect style="width:0;height:1.5pt" o:hralign="center" o:hrstd="t" o:hr="t"/>
        </w:pict>
      </w:r>
    </w:p>
    <w:bookmarkEnd w:id="11"/>
    <w:bookmarkStart w:id="12" w:name="X8dd1e688b1070d2c07deca0b13c57881b9fd84c"/>
    <w:p>
      <w:pPr>
        <w:pStyle w:val="Heading3"/>
      </w:pPr>
      <w:r>
        <w:t xml:space="preserve">3. U.S.: Premium growth is solid, but margins and the core agency channel need attention</w:t>
      </w:r>
    </w:p>
    <w:p>
      <w:pPr>
        <w:pStyle w:val="FirstParagraph"/>
      </w:pPr>
      <w:r>
        <w:t xml:space="preserve">Aflac U.S. began 2026 with stable fundamentals: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1Q26 Aflac U.S. metric</w:t>
            </w:r>
          </w:p>
        </w:tc>
        <w:tc>
          <w:tcPr/>
          <w:p>
            <w:pPr>
              <w:pStyle w:val="Compact"/>
              <w:jc w:val="right"/>
            </w:pPr>
            <w:r>
              <w:t xml:space="preserve">Result</w:t>
            </w:r>
          </w:p>
        </w:tc>
      </w:tr>
      <w:tr>
        <w:tc>
          <w:tcPr/>
          <w:p>
            <w:pPr>
              <w:pStyle w:val="Compact"/>
            </w:pPr>
            <w:r>
              <w:t xml:space="preserve">Net earned premium growth</w:t>
            </w:r>
          </w:p>
        </w:tc>
        <w:tc>
          <w:tcPr/>
          <w:p>
            <w:pPr>
              <w:pStyle w:val="Compact"/>
              <w:jc w:val="right"/>
            </w:pPr>
            <w:r>
              <w:rPr>
                <w:b/>
                <w:bCs/>
              </w:rPr>
              <w:t xml:space="preserve">+3.5%</w:t>
            </w:r>
          </w:p>
        </w:tc>
      </w:tr>
      <w:tr>
        <w:tc>
          <w:tcPr/>
          <w:p>
            <w:pPr>
              <w:pStyle w:val="Compact"/>
            </w:pPr>
            <w:r>
              <w:t xml:space="preserve">Sales growth</w:t>
            </w:r>
          </w:p>
        </w:tc>
        <w:tc>
          <w:tcPr/>
          <w:p>
            <w:pPr>
              <w:pStyle w:val="Compact"/>
              <w:jc w:val="right"/>
            </w:pPr>
            <w:r>
              <w:rPr>
                <w:b/>
                <w:bCs/>
              </w:rPr>
              <w:t xml:space="preserve">+2.9%</w:t>
            </w:r>
          </w:p>
        </w:tc>
      </w:tr>
      <w:tr>
        <w:tc>
          <w:tcPr/>
          <w:p>
            <w:pPr>
              <w:pStyle w:val="Compact"/>
            </w:pPr>
            <w:r>
              <w:t xml:space="preserve">Persistency</w:t>
            </w:r>
          </w:p>
        </w:tc>
        <w:tc>
          <w:tcPr/>
          <w:p>
            <w:pPr>
              <w:pStyle w:val="Compact"/>
              <w:jc w:val="right"/>
            </w:pPr>
            <w:r>
              <w:rPr>
                <w:b/>
                <w:bCs/>
              </w:rPr>
              <w:t xml:space="preserve">79.3%</w:t>
            </w:r>
          </w:p>
        </w:tc>
      </w:tr>
      <w:tr>
        <w:tc>
          <w:tcPr/>
          <w:p>
            <w:pPr>
              <w:pStyle w:val="Compact"/>
            </w:pPr>
            <w:r>
              <w:t xml:space="preserve">Pretax adjusted earnings</w:t>
            </w:r>
          </w:p>
        </w:tc>
        <w:tc>
          <w:tcPr/>
          <w:p>
            <w:pPr>
              <w:pStyle w:val="Compact"/>
              <w:jc w:val="right"/>
            </w:pPr>
            <w:r>
              <w:rPr>
                <w:b/>
                <w:bCs/>
              </w:rPr>
              <w:t xml:space="preserve">$363M</w:t>
            </w:r>
          </w:p>
        </w:tc>
      </w:tr>
      <w:tr>
        <w:tc>
          <w:tcPr/>
          <w:p>
            <w:pPr>
              <w:pStyle w:val="Compact"/>
            </w:pPr>
            <w:r>
              <w:t xml:space="preserve">Pretax adjusted margin</w:t>
            </w:r>
          </w:p>
        </w:tc>
        <w:tc>
          <w:tcPr/>
          <w:p>
            <w:pPr>
              <w:pStyle w:val="Compact"/>
              <w:jc w:val="right"/>
            </w:pPr>
            <w:r>
              <w:rPr>
                <w:b/>
                <w:bCs/>
              </w:rPr>
              <w:t xml:space="preserve">20.4%</w:t>
            </w:r>
          </w:p>
        </w:tc>
      </w:tr>
      <w:tr>
        <w:tc>
          <w:tcPr/>
          <w:p>
            <w:pPr>
              <w:pStyle w:val="Compact"/>
            </w:pPr>
            <w:r>
              <w:t xml:space="preserve">Benefit ratio</w:t>
            </w:r>
          </w:p>
        </w:tc>
        <w:tc>
          <w:tcPr/>
          <w:p>
            <w:pPr>
              <w:pStyle w:val="Compact"/>
              <w:jc w:val="right"/>
            </w:pPr>
            <w:r>
              <w:rPr>
                <w:b/>
                <w:bCs/>
              </w:rPr>
              <w:t xml:space="preserve">47.2%</w:t>
            </w:r>
          </w:p>
        </w:tc>
      </w:tr>
      <w:tr>
        <w:tc>
          <w:tcPr/>
          <w:p>
            <w:pPr>
              <w:pStyle w:val="Compact"/>
            </w:pPr>
            <w:r>
              <w:t xml:space="preserve">Expense ratio</w:t>
            </w:r>
          </w:p>
        </w:tc>
        <w:tc>
          <w:tcPr/>
          <w:p>
            <w:pPr>
              <w:pStyle w:val="Compact"/>
              <w:jc w:val="right"/>
            </w:pPr>
            <w:r>
              <w:rPr>
                <w:b/>
                <w:bCs/>
              </w:rPr>
              <w:t xml:space="preserve">38.3%</w:t>
            </w:r>
          </w:p>
        </w:tc>
      </w:tr>
    </w:tbl>
    <w:p>
      <w:pPr>
        <w:pStyle w:val="BodyText"/>
      </w:pPr>
      <w:r>
        <w:t xml:space="preserve">The more encouraging underlying point is product mix. Management cited</w:t>
      </w:r>
      <w:r>
        <w:t xml:space="preserve"> </w:t>
      </w:r>
      <w:r>
        <w:rPr>
          <w:b/>
          <w:bCs/>
        </w:rPr>
        <w:t xml:space="preserve">12.4% growth</w:t>
      </w:r>
      <w:r>
        <w:t xml:space="preserve"> </w:t>
      </w:r>
      <w:r>
        <w:t xml:space="preserve">across group products, including dental and vision, core voluntary benefits, and group life/disability. Dental and vision sales were up</w:t>
      </w:r>
      <w:r>
        <w:t xml:space="preserve"> </w:t>
      </w:r>
      <w:r>
        <w:rPr>
          <w:b/>
          <w:bCs/>
        </w:rPr>
        <w:t xml:space="preserve">52%</w:t>
      </w:r>
      <w:r>
        <w:t xml:space="preserve">. However, the traditional agent-based business was described as</w:t>
      </w:r>
      <w:r>
        <w:t xml:space="preserve"> </w:t>
      </w:r>
      <w:r>
        <w:rPr>
          <w:b/>
          <w:bCs/>
        </w:rPr>
        <w:t xml:space="preserve">slightly down to flat</w:t>
      </w:r>
      <w:r>
        <w:t xml:space="preserve">.</w:t>
      </w:r>
    </w:p>
    <w:p>
      <w:pPr>
        <w:pStyle w:val="BodyText"/>
      </w:pPr>
      <w:r>
        <w:t xml:space="preserve">That makes 2Q a test of whether AFL can sustain growth in newer distribution channels while improving the productivity and recruitment economics of its core agency channel.</w:t>
      </w:r>
    </w:p>
    <w:p>
      <w:pPr>
        <w:pStyle w:val="BodyText"/>
      </w:pPr>
      <w:r>
        <w:rPr>
          <w:b/>
          <w:bCs/>
        </w:rPr>
        <w:t xml:space="preserve">What to watch:</w:t>
      </w:r>
    </w:p>
    <w:p>
      <w:pPr>
        <w:pStyle w:val="Compact"/>
        <w:numPr>
          <w:ilvl w:val="0"/>
          <w:numId w:val="1004"/>
        </w:numPr>
      </w:pPr>
      <w:r>
        <w:t xml:space="preserve">Net earned-premium growth versus the 3.5% achieved in 1Q.</w:t>
      </w:r>
    </w:p>
    <w:p>
      <w:pPr>
        <w:pStyle w:val="Compact"/>
        <w:numPr>
          <w:ilvl w:val="0"/>
          <w:numId w:val="1004"/>
        </w:numPr>
      </w:pPr>
      <w:r>
        <w:t xml:space="preserve">Group-product sales and whether dental/vision, group life, disability, and voluntary benefits continue to outperform.</w:t>
      </w:r>
    </w:p>
    <w:p>
      <w:pPr>
        <w:pStyle w:val="Compact"/>
        <w:numPr>
          <w:ilvl w:val="0"/>
          <w:numId w:val="1004"/>
        </w:numPr>
      </w:pPr>
      <w:r>
        <w:t xml:space="preserve">Persistency, particularly in a more pressured consumer environment.</w:t>
      </w:r>
    </w:p>
    <w:p>
      <w:pPr>
        <w:pStyle w:val="Compact"/>
        <w:numPr>
          <w:ilvl w:val="0"/>
          <w:numId w:val="1004"/>
        </w:numPr>
      </w:pPr>
      <w:r>
        <w:t xml:space="preserve">The benefit ratio relative to the company’s</w:t>
      </w:r>
      <w:r>
        <w:t xml:space="preserve"> </w:t>
      </w:r>
      <w:r>
        <w:rPr>
          <w:b/>
          <w:bCs/>
        </w:rPr>
        <w:t xml:space="preserve">48%–52%</w:t>
      </w:r>
      <w:r>
        <w:t xml:space="preserve"> </w:t>
      </w:r>
      <w:r>
        <w:t xml:space="preserve">full-year outlook. The 1Q result benefited from reserve remeasurement gains estimated at roughly 80 bps above plan, so investors should avoid annualizing the 47.2% result.</w:t>
      </w:r>
    </w:p>
    <w:p>
      <w:pPr>
        <w:pStyle w:val="Compact"/>
        <w:numPr>
          <w:ilvl w:val="0"/>
          <w:numId w:val="1004"/>
        </w:numPr>
      </w:pPr>
      <w:r>
        <w:t xml:space="preserve">The expense ratio. The 1Q ratio rose 70 bps year over year, driven by DAC amortization, commissions, advertising timing, and investment spending.</w:t>
      </w:r>
    </w:p>
    <w:p>
      <w:pPr>
        <w:pStyle w:val="FirstParagraph"/>
      </w:pPr>
      <w:r>
        <w:rPr>
          <w:b/>
          <w:bCs/>
        </w:rPr>
        <w:t xml:space="preserve">Interpretation:</w:t>
      </w:r>
      <w:r>
        <w:t xml:space="preserve"> </w:t>
      </w:r>
      <w:r>
        <w:t xml:space="preserve">U.S. revenue growth is becoming more credible, but profitability depends on management’s ability to prevent growth investments and product-mix change from eroding the roughly 20% pretax margin.</w:t>
      </w:r>
    </w:p>
    <w:p>
      <w:r>
        <w:pict>
          <v:rect style="width:0;height:1.5pt" o:hralign="center" o:hrstd="t" o:hr="t"/>
        </w:pict>
      </w:r>
    </w:p>
    <w:bookmarkEnd w:id="12"/>
    <w:bookmarkStart w:id="13" w:name="X590dcdcbef7992efcc0d1e6d25738b077f8f843"/>
    <w:p>
      <w:pPr>
        <w:pStyle w:val="Heading3"/>
      </w:pPr>
      <w:r>
        <w:t xml:space="preserve">4. Investment income, credit, and commercial real estate remain meaningful swing factors</w:t>
      </w:r>
    </w:p>
    <w:p>
      <w:pPr>
        <w:pStyle w:val="FirstParagraph"/>
      </w:pPr>
      <w:r>
        <w:t xml:space="preserve">AFL’s headline GAAP earnings can move sharply with derivatives, foreign exchange, and investment marks. The cleaner measure for the quarter will again be</w:t>
      </w:r>
      <w:r>
        <w:t xml:space="preserve"> </w:t>
      </w:r>
      <w:r>
        <w:rPr>
          <w:b/>
          <w:bCs/>
        </w:rPr>
        <w:t xml:space="preserve">adjusted EPS</w:t>
      </w:r>
      <w:r>
        <w:t xml:space="preserve">, segment pretax earnings, and normalized investment income.</w:t>
      </w:r>
    </w:p>
    <w:p>
      <w:pPr>
        <w:pStyle w:val="BodyText"/>
      </w:pPr>
      <w:r>
        <w:t xml:space="preserve">In 1Q26:</w:t>
      </w:r>
    </w:p>
    <w:p>
      <w:pPr>
        <w:pStyle w:val="Compact"/>
        <w:numPr>
          <w:ilvl w:val="0"/>
          <w:numId w:val="1005"/>
        </w:numPr>
      </w:pPr>
      <w:r>
        <w:t xml:space="preserve">Variable investment income was</w:t>
      </w:r>
      <w:r>
        <w:t xml:space="preserve"> </w:t>
      </w:r>
      <w:r>
        <w:rPr>
          <w:b/>
          <w:bCs/>
        </w:rPr>
        <w:t xml:space="preserve">$14 million below</w:t>
      </w:r>
      <w:r>
        <w:t xml:space="preserve"> </w:t>
      </w:r>
      <w:r>
        <w:t xml:space="preserve">the company’s long-term return expectation.</w:t>
      </w:r>
    </w:p>
    <w:p>
      <w:pPr>
        <w:pStyle w:val="Compact"/>
        <w:numPr>
          <w:ilvl w:val="0"/>
          <w:numId w:val="1005"/>
        </w:numPr>
      </w:pPr>
      <w:r>
        <w:t xml:space="preserve">The company recorded</w:t>
      </w:r>
      <w:r>
        <w:t xml:space="preserve"> </w:t>
      </w:r>
      <w:r>
        <w:rPr>
          <w:b/>
          <w:bCs/>
        </w:rPr>
        <w:t xml:space="preserve">$19 million of loan charge-offs</w:t>
      </w:r>
      <w:r>
        <w:t xml:space="preserve">.</w:t>
      </w:r>
    </w:p>
    <w:p>
      <w:pPr>
        <w:pStyle w:val="Compact"/>
        <w:numPr>
          <w:ilvl w:val="0"/>
          <w:numId w:val="1005"/>
        </w:numPr>
      </w:pPr>
      <w:r>
        <w:t xml:space="preserve">It took</w:t>
      </w:r>
      <w:r>
        <w:t xml:space="preserve"> </w:t>
      </w:r>
      <w:r>
        <w:rPr>
          <w:b/>
          <w:bCs/>
        </w:rPr>
        <w:t xml:space="preserve">$24 million of impairments</w:t>
      </w:r>
      <w:r>
        <w:t xml:space="preserve"> </w:t>
      </w:r>
      <w:r>
        <w:t xml:space="preserve">on its real-estate-owned portfolio.</w:t>
      </w:r>
    </w:p>
    <w:p>
      <w:pPr>
        <w:pStyle w:val="Compact"/>
        <w:numPr>
          <w:ilvl w:val="0"/>
          <w:numId w:val="1005"/>
        </w:numPr>
      </w:pPr>
      <w:r>
        <w:t xml:space="preserve">Management continued to characterize commercial real-estate valuations as distressed relative to its view of intrinsic value.</w:t>
      </w:r>
    </w:p>
    <w:p>
      <w:pPr>
        <w:pStyle w:val="FirstParagraph"/>
      </w:pPr>
      <w:r>
        <w:t xml:space="preserve">The 2Q25 comparison also contains noise: adjusted EPS was</w:t>
      </w:r>
      <w:r>
        <w:t xml:space="preserve"> </w:t>
      </w:r>
      <m:oMath>
        <m:r>
          <m:t>1.78</m:t>
        </m:r>
        <m:r>
          <m:rPr>
            <m:sty m:val="p"/>
          </m:rPr>
          <m:t>*</m:t>
        </m:r>
        <m:r>
          <m:rPr>
            <m:sty m:val="p"/>
          </m:rPr>
          <m:t>*</m:t>
        </m:r>
        <m:r>
          <m:rPr>
            <m:sty m:val="p"/>
          </m:rPr>
          <m:t>,</m:t>
        </m:r>
        <m:r>
          <m:t>b</m:t>
        </m:r>
        <m:r>
          <m:t>u</m:t>
        </m:r>
        <m:r>
          <m:t>t</m:t>
        </m:r>
        <m:r>
          <m:t>v</m:t>
        </m:r>
        <m:r>
          <m:t>a</m:t>
        </m:r>
        <m:r>
          <m:t>r</m:t>
        </m:r>
        <m:r>
          <m:t>i</m:t>
        </m:r>
        <m:r>
          <m:t>a</m:t>
        </m:r>
        <m:r>
          <m:t>b</m:t>
        </m:r>
        <m:r>
          <m:t>l</m:t>
        </m:r>
        <m:r>
          <m:t>e</m:t>
        </m:r>
        <m:r>
          <m:t>i</m:t>
        </m:r>
        <m:r>
          <m:t>n</m:t>
        </m:r>
        <m:r>
          <m:t>v</m:t>
        </m:r>
        <m:r>
          <m:t>e</m:t>
        </m:r>
        <m:r>
          <m:t>s</m:t>
        </m:r>
        <m:r>
          <m:t>t</m:t>
        </m:r>
        <m:r>
          <m:t>m</m:t>
        </m:r>
        <m:r>
          <m:t>e</m:t>
        </m:r>
        <m:r>
          <m:t>n</m:t>
        </m:r>
        <m:r>
          <m:t>t</m:t>
        </m:r>
        <m:r>
          <m:t>i</m:t>
        </m:r>
        <m:r>
          <m:t>n</m:t>
        </m:r>
        <m:r>
          <m:t>c</m:t>
        </m:r>
        <m:r>
          <m:t>o</m:t>
        </m:r>
        <m:r>
          <m:t>m</m:t>
        </m:r>
        <m:r>
          <m:t>e</m:t>
        </m:r>
        <m:r>
          <m:t>w</m:t>
        </m:r>
        <m:r>
          <m:t>a</m:t>
        </m:r>
        <m:r>
          <m:t>s</m:t>
        </m:r>
        <m:r>
          <m:rPr>
            <m:sty m:val="p"/>
          </m:rPr>
          <m:t>*</m:t>
        </m:r>
        <m:r>
          <m:rPr>
            <m:sty m:val="p"/>
          </m:rPr>
          <m:t>*</m:t>
        </m:r>
      </m:oMath>
      <w:r>
        <w:rPr>
          <w:b/>
          <w:bCs/>
        </w:rPr>
        <w:t xml:space="preserve">35 million below</w:t>
      </w:r>
      <w:r>
        <w:t xml:space="preserve"> </w:t>
      </w:r>
      <w:r>
        <w:t xml:space="preserve">long-term expectations and a Japan make-whole call added</w:t>
      </w:r>
      <w:r>
        <w:t xml:space="preserve"> </w:t>
      </w:r>
      <w:r>
        <w:rPr>
          <w:b/>
          <w:bCs/>
        </w:rPr>
        <w:t xml:space="preserve">$35 million</w:t>
      </w:r>
      <w:r>
        <w:t xml:space="preserve"> </w:t>
      </w:r>
      <w:r>
        <w:t xml:space="preserve">of investment income.</w:t>
      </w:r>
    </w:p>
    <w:p>
      <w:pPr>
        <w:pStyle w:val="BodyText"/>
      </w:pPr>
      <w:r>
        <w:rPr>
          <w:b/>
          <w:bCs/>
        </w:rPr>
        <w:t xml:space="preserve">Investor focus:</w:t>
      </w:r>
    </w:p>
    <w:p>
      <w:pPr>
        <w:pStyle w:val="Compact"/>
        <w:numPr>
          <w:ilvl w:val="0"/>
          <w:numId w:val="1006"/>
        </w:numPr>
      </w:pPr>
      <w:r>
        <w:t xml:space="preserve">Variable investment income versus AFL’s long-term expectation.</w:t>
      </w:r>
    </w:p>
    <w:p>
      <w:pPr>
        <w:pStyle w:val="Compact"/>
        <w:numPr>
          <w:ilvl w:val="0"/>
          <w:numId w:val="1006"/>
        </w:numPr>
      </w:pPr>
      <w:r>
        <w:t xml:space="preserve">Incremental CECL reserves, credit losses, loan charge-offs, or commercial-real-estate impairments.</w:t>
      </w:r>
    </w:p>
    <w:p>
      <w:pPr>
        <w:pStyle w:val="Compact"/>
        <w:numPr>
          <w:ilvl w:val="0"/>
          <w:numId w:val="1006"/>
        </w:numPr>
      </w:pPr>
      <w:r>
        <w:t xml:space="preserve">The direction of U.S. and Japan net investment income as rates and hedging costs evolve.</w:t>
      </w:r>
    </w:p>
    <w:p>
      <w:pPr>
        <w:pStyle w:val="Compact"/>
        <w:numPr>
          <w:ilvl w:val="0"/>
          <w:numId w:val="1006"/>
        </w:numPr>
      </w:pPr>
      <w:r>
        <w:t xml:space="preserve">Whether management’s comments on real estate remain consistent with a manageable, contained issue rather than a widening credit problem.</w:t>
      </w:r>
    </w:p>
    <w:p>
      <w:r>
        <w:pict>
          <v:rect style="width:0;height:1.5pt" o:hralign="center" o:hrstd="t" o:hr="t"/>
        </w:pict>
      </w:r>
    </w:p>
    <w:bookmarkEnd w:id="13"/>
    <w:bookmarkStart w:id="14" w:name="Xa7d256f3ce5b7cc0e42d22a6aea5944d87b14b2"/>
    <w:p>
      <w:pPr>
        <w:pStyle w:val="Heading3"/>
      </w:pPr>
      <w:r>
        <w:t xml:space="preserve">5. The Aflac Japan cyberattack is the most important new risk item</w:t>
      </w:r>
    </w:p>
    <w:p>
      <w:pPr>
        <w:pStyle w:val="FirstParagraph"/>
      </w:pPr>
      <w:r>
        <w:t xml:space="preserve">On</w:t>
      </w:r>
      <w:r>
        <w:t xml:space="preserve"> </w:t>
      </w:r>
      <w:r>
        <w:rPr>
          <w:b/>
          <w:bCs/>
        </w:rPr>
        <w:t xml:space="preserve">June 30, 2026</w:t>
      </w:r>
      <w:r>
        <w:t xml:space="preserve">, Aflac disclosed that Aflac Japan identified unauthorized access to certain systems between</w:t>
      </w:r>
      <w:r>
        <w:t xml:space="preserve"> </w:t>
      </w:r>
      <w:r>
        <w:rPr>
          <w:b/>
          <w:bCs/>
        </w:rPr>
        <w:t xml:space="preserve">June 15 and June 25, 2026</w:t>
      </w:r>
      <w:r>
        <w:t xml:space="preserve">. The company suspended certain systems, stated that it continued serving policyholders, and said affected files included policy/coverage details, personal information, and bank-account information. The U.S. business systems were not accessed. The investigation remains ongoing, and AFL said the ultimate impact was not yet known.</w:t>
      </w:r>
    </w:p>
    <w:p>
      <w:pPr>
        <w:pStyle w:val="BodyText"/>
      </w:pPr>
      <w:r>
        <w:t xml:space="preserve">This disclosure falls directly within the second quarter and is likely to be a central call topic.</w:t>
      </w:r>
    </w:p>
    <w:p>
      <w:pPr>
        <w:pStyle w:val="BodyText"/>
      </w:pPr>
      <w:r>
        <w:rPr>
          <w:b/>
          <w:bCs/>
        </w:rPr>
        <w:t xml:space="preserve">Questions investors should expect to be answered:</w:t>
      </w:r>
    </w:p>
    <w:p>
      <w:pPr>
        <w:pStyle w:val="Compact"/>
        <w:numPr>
          <w:ilvl w:val="0"/>
          <w:numId w:val="1007"/>
        </w:numPr>
      </w:pPr>
      <w:r>
        <w:t xml:space="preserve">Were sales, underwriting, servicing, claims processing, or distribution materially disrupted?</w:t>
      </w:r>
    </w:p>
    <w:p>
      <w:pPr>
        <w:pStyle w:val="Compact"/>
        <w:numPr>
          <w:ilvl w:val="0"/>
          <w:numId w:val="1007"/>
        </w:numPr>
      </w:pPr>
      <w:r>
        <w:t xml:space="preserve">What are the expected incident-response, remediation, customer-notification, and legal costs?</w:t>
      </w:r>
    </w:p>
    <w:p>
      <w:pPr>
        <w:pStyle w:val="Compact"/>
        <w:numPr>
          <w:ilvl w:val="0"/>
          <w:numId w:val="1007"/>
        </w:numPr>
      </w:pPr>
      <w:r>
        <w:t xml:space="preserve">Has management identified insurance recoveries or established a preliminary range of possible costs?</w:t>
      </w:r>
    </w:p>
    <w:p>
      <w:pPr>
        <w:pStyle w:val="Compact"/>
        <w:numPr>
          <w:ilvl w:val="0"/>
          <w:numId w:val="1007"/>
        </w:numPr>
      </w:pPr>
      <w:r>
        <w:t xml:space="preserve">Are there customer-retention, partner-distribution, or reputational effects to consider?</w:t>
      </w:r>
    </w:p>
    <w:p>
      <w:pPr>
        <w:pStyle w:val="Compact"/>
        <w:numPr>
          <w:ilvl w:val="0"/>
          <w:numId w:val="1007"/>
        </w:numPr>
      </w:pPr>
      <w:r>
        <w:t xml:space="preserve">Has the incident changed the outlook for 2H26 Japan sales, expenses, or capital deployment?</w:t>
      </w:r>
    </w:p>
    <w:p>
      <w:pPr>
        <w:pStyle w:val="FirstParagraph"/>
      </w:pPr>
      <w:r>
        <w:t xml:space="preserve">The stock fell roughly</w:t>
      </w:r>
      <w:r>
        <w:t xml:space="preserve"> </w:t>
      </w:r>
      <w:r>
        <w:rPr>
          <w:b/>
          <w:bCs/>
        </w:rPr>
        <w:t xml:space="preserve">2.4% on June 30</w:t>
      </w:r>
      <w:r>
        <w:t xml:space="preserve"> </w:t>
      </w:r>
      <w:r>
        <w:t xml:space="preserve">following the disclosure, but recovered and closed about</w:t>
      </w:r>
      <w:r>
        <w:t xml:space="preserve"> </w:t>
      </w:r>
      <w:r>
        <w:rPr>
          <w:b/>
          <w:bCs/>
        </w:rPr>
        <w:t xml:space="preserve">7.1% above</w:t>
      </w:r>
      <w:r>
        <w:t xml:space="preserve"> </w:t>
      </w:r>
      <w:r>
        <w:t xml:space="preserve">that level by August 5. That recovery suggests investors may currently view the episode as manageable; a vague or materially worse-than-expected update would therefore be a notable downside risk.</w:t>
      </w:r>
    </w:p>
    <w:p>
      <w:r>
        <w:pict>
          <v:rect style="width:0;height:1.5pt" o:hralign="center" o:hrstd="t" o:hr="t"/>
        </w:pict>
      </w:r>
    </w:p>
    <w:bookmarkEnd w:id="14"/>
    <w:bookmarkEnd w:id="15"/>
    <w:bookmarkStart w:id="16" w:name="X1de9d3b2fd213893cd82ce614594c51ab937eaf"/>
    <w:p>
      <w:pPr>
        <w:pStyle w:val="Heading2"/>
      </w:pPr>
      <w:r>
        <w:t xml:space="preserve">Capital deployment: A major support, but also an expectation</w:t>
      </w:r>
    </w:p>
    <w:p>
      <w:pPr>
        <w:pStyle w:val="FirstParagraph"/>
      </w:pPr>
      <w:r>
        <w:t xml:space="preserve">AFL’s capital position remains a material strength:</w:t>
      </w:r>
    </w:p>
    <w:p>
      <w:pPr>
        <w:pStyle w:val="Compact"/>
        <w:numPr>
          <w:ilvl w:val="0"/>
          <w:numId w:val="1008"/>
        </w:numPr>
      </w:pPr>
      <w:r>
        <w:rPr>
          <w:b/>
          <w:bCs/>
        </w:rPr>
        <w:t xml:space="preserve">$3.4 billion</w:t>
      </w:r>
      <w:r>
        <w:t xml:space="preserve"> </w:t>
      </w:r>
      <w:r>
        <w:t xml:space="preserve">of unencumbered holding-company liquidity at 1Q26, versus a $1 billion minimum</w:t>
      </w:r>
    </w:p>
    <w:p>
      <w:pPr>
        <w:pStyle w:val="Compact"/>
        <w:numPr>
          <w:ilvl w:val="0"/>
          <w:numId w:val="1008"/>
        </w:numPr>
      </w:pPr>
      <w:r>
        <w:t xml:space="preserve">Estimated regulatory ESR of</w:t>
      </w:r>
      <w:r>
        <w:t xml:space="preserve"> </w:t>
      </w:r>
      <w:r>
        <w:rPr>
          <w:b/>
          <w:bCs/>
        </w:rPr>
        <w:t xml:space="preserve">227%</w:t>
      </w:r>
      <w:r>
        <w:t xml:space="preserve">, or</w:t>
      </w:r>
      <w:r>
        <w:t xml:space="preserve"> </w:t>
      </w:r>
      <w:r>
        <w:rPr>
          <w:b/>
          <w:bCs/>
        </w:rPr>
        <w:t xml:space="preserve">243%</w:t>
      </w:r>
      <w:r>
        <w:t xml:space="preserve"> </w:t>
      </w:r>
      <w:r>
        <w:t xml:space="preserve">including the undertaking-specific parameter</w:t>
      </w:r>
    </w:p>
    <w:p>
      <w:pPr>
        <w:pStyle w:val="Compact"/>
        <w:numPr>
          <w:ilvl w:val="0"/>
          <w:numId w:val="1008"/>
        </w:numPr>
      </w:pPr>
      <w:r>
        <w:t xml:space="preserve">Combined RBC of roughly</w:t>
      </w:r>
      <w:r>
        <w:t xml:space="preserve"> </w:t>
      </w:r>
      <w:r>
        <w:rPr>
          <w:b/>
          <w:bCs/>
        </w:rPr>
        <w:t xml:space="preserve">560%</w:t>
      </w:r>
    </w:p>
    <w:p>
      <w:pPr>
        <w:pStyle w:val="Compact"/>
        <w:numPr>
          <w:ilvl w:val="0"/>
          <w:numId w:val="1008"/>
        </w:numPr>
      </w:pPr>
      <w:r>
        <w:t xml:space="preserve">Adjusted leverage of</w:t>
      </w:r>
      <w:r>
        <w:t xml:space="preserve"> </w:t>
      </w:r>
      <w:r>
        <w:rPr>
          <w:b/>
          <w:bCs/>
        </w:rPr>
        <w:t xml:space="preserve">21.2%</w:t>
      </w:r>
      <w:r>
        <w:t xml:space="preserve">, within the company’s 20%–25% target range</w:t>
      </w:r>
    </w:p>
    <w:p>
      <w:pPr>
        <w:pStyle w:val="Compact"/>
        <w:numPr>
          <w:ilvl w:val="0"/>
          <w:numId w:val="1008"/>
        </w:numPr>
      </w:pPr>
      <m:oMath>
        <m:r>
          <m:t>1.0</m:t>
        </m:r>
        <m:r>
          <m:t>b</m:t>
        </m:r>
        <m:r>
          <m:t>i</m:t>
        </m:r>
        <m:r>
          <m:t>l</m:t>
        </m:r>
        <m:r>
          <m:t>l</m:t>
        </m:r>
        <m:r>
          <m:t>i</m:t>
        </m:r>
        <m:r>
          <m:t>o</m:t>
        </m:r>
        <m:r>
          <m:t>n</m:t>
        </m:r>
        <m:r>
          <m:rPr>
            <m:sty m:val="p"/>
          </m:rPr>
          <m:t>*</m:t>
        </m:r>
        <m:r>
          <m:rPr>
            <m:sty m:val="p"/>
          </m:rPr>
          <m:t>*</m:t>
        </m:r>
        <m:r>
          <m:t>o</m:t>
        </m:r>
        <m:r>
          <m:t>f</m:t>
        </m:r>
        <m:r>
          <m:t>s</m:t>
        </m:r>
        <m:r>
          <m:t>h</m:t>
        </m:r>
        <m:r>
          <m:t>a</m:t>
        </m:r>
        <m:r>
          <m:t>r</m:t>
        </m:r>
        <m:r>
          <m:t>e</m:t>
        </m:r>
        <m:r>
          <m:t>r</m:t>
        </m:r>
        <m:r>
          <m:t>e</m:t>
        </m:r>
        <m:r>
          <m:t>p</m:t>
        </m:r>
        <m:r>
          <m:t>u</m:t>
        </m:r>
        <m:r>
          <m:t>r</m:t>
        </m:r>
        <m:r>
          <m:t>c</m:t>
        </m:r>
        <m:r>
          <m:t>h</m:t>
        </m:r>
        <m:r>
          <m:t>a</m:t>
        </m:r>
        <m:r>
          <m:t>s</m:t>
        </m:r>
        <m:r>
          <m:t>e</m:t>
        </m:r>
        <m:r>
          <m:t>s</m:t>
        </m:r>
        <m:r>
          <m:t>a</m:t>
        </m:r>
        <m:r>
          <m:t>n</m:t>
        </m:r>
        <m:r>
          <m:t>d</m:t>
        </m:r>
        <m:r>
          <m:rPr>
            <m:sty m:val="p"/>
          </m:rPr>
          <m:t>*</m:t>
        </m:r>
        <m:r>
          <m:rPr>
            <m:sty m:val="p"/>
          </m:rPr>
          <m:t>*</m:t>
        </m:r>
      </m:oMath>
      <w:r>
        <w:rPr>
          <w:b/>
          <w:bCs/>
        </w:rPr>
        <w:t xml:space="preserve">315 million</w:t>
      </w:r>
      <w:r>
        <w:t xml:space="preserve"> </w:t>
      </w:r>
      <w:r>
        <w:t xml:space="preserve">of dividends in 1Q26</w:t>
      </w:r>
    </w:p>
    <w:p>
      <w:pPr>
        <w:pStyle w:val="FirstParagraph"/>
      </w:pPr>
      <w:r>
        <w:t xml:space="preserve">Capital return supported first-quarter per-share earnings growth even as consolidated adjusted earnings were nearly flat year over year. Investors should look for the pace of 2Q buybacks and management’s willingness to continue deploying excess capital, especially after issuing debt in May.</w:t>
      </w:r>
    </w:p>
    <w:p>
      <w:pPr>
        <w:pStyle w:val="BodyText"/>
      </w:pPr>
      <w:r>
        <w:t xml:space="preserve">The strategic wrinkle is Japan reinsurance. AFL completed a small external Japan reinsurance transaction in 1Q and views the market as a potentially meaningful long-term use of capital. That could diversify earnings and create attractive returns, but it also raises the question of whether future capital deployment tilts modestly from buybacks toward growth investments.</w:t>
      </w:r>
    </w:p>
    <w:p>
      <w:r>
        <w:pict>
          <v:rect style="width:0;height:1.5pt" o:hralign="center" o:hrstd="t" o:hr="t"/>
        </w:pict>
      </w:r>
    </w:p>
    <w:bookmarkEnd w:id="16"/>
    <w:bookmarkStart w:id="17" w:name="key-earnings-benchmarks"/>
    <w:p>
      <w:pPr>
        <w:pStyle w:val="Heading2"/>
      </w:pPr>
      <w:r>
        <w:t xml:space="preserve">Key earnings benchmarks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2Q25 actual</w:t>
            </w:r>
          </w:p>
        </w:tc>
        <w:tc>
          <w:tcPr/>
          <w:p>
            <w:pPr>
              <w:pStyle w:val="Compact"/>
              <w:jc w:val="right"/>
            </w:pPr>
            <w:r>
              <w:t xml:space="preserve">1Q26 actual</w:t>
            </w:r>
          </w:p>
        </w:tc>
        <w:tc>
          <w:tcPr/>
          <w:p>
            <w:pPr>
              <w:pStyle w:val="Compact"/>
            </w:pPr>
            <w:r>
              <w:t xml:space="preserve">2Q26 investor focus</w:t>
            </w:r>
          </w:p>
        </w:tc>
      </w:tr>
      <w:tr>
        <w:tc>
          <w:tcPr/>
          <w:p>
            <w:pPr>
              <w:pStyle w:val="Compact"/>
            </w:pPr>
            <w:r>
              <w:t xml:space="preserve">Adjusted EPS</w:t>
            </w:r>
          </w:p>
        </w:tc>
        <w:tc>
          <w:tcPr/>
          <w:p>
            <w:pPr>
              <w:pStyle w:val="Compact"/>
              <w:jc w:val="right"/>
            </w:pPr>
            <w:r>
              <w:rPr>
                <w:b/>
                <w:bCs/>
              </w:rPr>
              <w:t xml:space="preserve">$1.78</w:t>
            </w:r>
          </w:p>
        </w:tc>
        <w:tc>
          <w:tcPr/>
          <w:p>
            <w:pPr>
              <w:pStyle w:val="Compact"/>
              <w:jc w:val="right"/>
            </w:pPr>
            <w:r>
              <w:rPr>
                <w:b/>
                <w:bCs/>
              </w:rPr>
              <w:t xml:space="preserve">$1.75</w:t>
            </w:r>
          </w:p>
        </w:tc>
        <w:tc>
          <w:tcPr/>
          <w:p>
            <w:pPr>
              <w:pStyle w:val="Compact"/>
            </w:pPr>
            <w:r>
              <w:t xml:space="preserve">EPS growth excluding FX and one-offs</w:t>
            </w:r>
          </w:p>
        </w:tc>
      </w:tr>
      <w:tr>
        <w:tc>
          <w:tcPr/>
          <w:p>
            <w:pPr>
              <w:pStyle w:val="Compact"/>
            </w:pPr>
            <w:r>
              <w:t xml:space="preserve">Adjusted earnings</w:t>
            </w:r>
          </w:p>
        </w:tc>
        <w:tc>
          <w:tcPr/>
          <w:p>
            <w:pPr>
              <w:pStyle w:val="Compact"/>
              <w:jc w:val="right"/>
            </w:pPr>
            <w:r>
              <w:rPr>
                <w:b/>
                <w:bCs/>
              </w:rPr>
              <w:t xml:space="preserve">$957M</w:t>
            </w:r>
          </w:p>
        </w:tc>
        <w:tc>
          <w:tcPr/>
          <w:p>
            <w:pPr>
              <w:pStyle w:val="Compact"/>
              <w:jc w:val="right"/>
            </w:pPr>
            <w:r>
              <w:rPr>
                <w:b/>
                <w:bCs/>
              </w:rPr>
              <w:t xml:space="preserve">$901M</w:t>
            </w:r>
          </w:p>
        </w:tc>
        <w:tc>
          <w:tcPr/>
          <w:p>
            <w:pPr>
              <w:pStyle w:val="Compact"/>
            </w:pPr>
            <w:r>
              <w:t xml:space="preserve">Underlying earnings momentum</w:t>
            </w:r>
          </w:p>
        </w:tc>
      </w:tr>
      <w:tr>
        <w:tc>
          <w:tcPr/>
          <w:p>
            <w:pPr>
              <w:pStyle w:val="Compact"/>
            </w:pPr>
            <w:r>
              <w:t xml:space="preserve">Japan pretax adjusted earnings</w:t>
            </w:r>
          </w:p>
        </w:tc>
        <w:tc>
          <w:tcPr/>
          <w:p>
            <w:pPr>
              <w:pStyle w:val="Compact"/>
              <w:jc w:val="right"/>
            </w:pPr>
            <w:r>
              <w:rPr>
                <w:b/>
                <w:bCs/>
              </w:rPr>
              <w:t xml:space="preserve">$790M</w:t>
            </w:r>
          </w:p>
        </w:tc>
        <w:tc>
          <w:tcPr/>
          <w:p>
            <w:pPr>
              <w:pStyle w:val="Compact"/>
              <w:jc w:val="right"/>
            </w:pPr>
            <w:r>
              <w:rPr>
                <w:b/>
                <w:bCs/>
              </w:rPr>
              <w:t xml:space="preserve">$759M</w:t>
            </w:r>
          </w:p>
        </w:tc>
        <w:tc>
          <w:tcPr/>
          <w:p>
            <w:pPr>
              <w:pStyle w:val="Compact"/>
            </w:pPr>
            <w:r>
              <w:t xml:space="preserve">Sales, benefit ratio, yen earnings</w:t>
            </w:r>
          </w:p>
        </w:tc>
      </w:tr>
      <w:tr>
        <w:tc>
          <w:tcPr/>
          <w:p>
            <w:pPr>
              <w:pStyle w:val="Compact"/>
            </w:pPr>
            <w:r>
              <w:t xml:space="preserve">Japan pretax margin</w:t>
            </w:r>
          </w:p>
        </w:tc>
        <w:tc>
          <w:tcPr/>
          <w:p>
            <w:pPr>
              <w:pStyle w:val="Compact"/>
              <w:jc w:val="right"/>
            </w:pPr>
            <w:r>
              <w:rPr>
                <w:b/>
                <w:bCs/>
              </w:rPr>
              <w:t xml:space="preserve">32.0%</w:t>
            </w:r>
          </w:p>
        </w:tc>
        <w:tc>
          <w:tcPr/>
          <w:p>
            <w:pPr>
              <w:pStyle w:val="Compact"/>
              <w:jc w:val="right"/>
            </w:pPr>
            <w:r>
              <w:rPr>
                <w:b/>
                <w:bCs/>
              </w:rPr>
              <w:t xml:space="preserve">35.0%</w:t>
            </w:r>
          </w:p>
        </w:tc>
        <w:tc>
          <w:tcPr/>
          <w:p>
            <w:pPr>
              <w:pStyle w:val="Compact"/>
            </w:pPr>
            <w:r>
              <w:t xml:space="preserve">Sustainability of claims favorability</w:t>
            </w:r>
          </w:p>
        </w:tc>
      </w:tr>
      <w:tr>
        <w:tc>
          <w:tcPr/>
          <w:p>
            <w:pPr>
              <w:pStyle w:val="Compact"/>
            </w:pPr>
            <w:r>
              <w:t xml:space="preserve">Japan sales</w:t>
            </w:r>
          </w:p>
        </w:tc>
        <w:tc>
          <w:tcPr/>
          <w:p>
            <w:pPr>
              <w:pStyle w:val="Compact"/>
              <w:jc w:val="right"/>
            </w:pPr>
            <w:r>
              <w:rPr>
                <w:b/>
                <w:bCs/>
              </w:rPr>
              <w:t xml:space="preserve">¥20.7B</w:t>
            </w:r>
          </w:p>
        </w:tc>
        <w:tc>
          <w:tcPr/>
          <w:p>
            <w:pPr>
              <w:pStyle w:val="Compact"/>
              <w:jc w:val="right"/>
            </w:pPr>
            <w:r>
              <w:rPr>
                <w:b/>
                <w:bCs/>
              </w:rPr>
              <w:t xml:space="preserve">¥17.7B</w:t>
            </w:r>
          </w:p>
        </w:tc>
        <w:tc>
          <w:tcPr/>
          <w:p>
            <w:pPr>
              <w:pStyle w:val="Compact"/>
            </w:pPr>
            <w:r>
              <w:t xml:space="preserve">Progress toward ~¥80B 2026 aspiration</w:t>
            </w:r>
          </w:p>
        </w:tc>
      </w:tr>
      <w:tr>
        <w:tc>
          <w:tcPr/>
          <w:p>
            <w:pPr>
              <w:pStyle w:val="Compact"/>
            </w:pPr>
            <w:r>
              <w:t xml:space="preserve">U.S. pretax adjusted earnings</w:t>
            </w:r>
          </w:p>
        </w:tc>
        <w:tc>
          <w:tcPr/>
          <w:p>
            <w:pPr>
              <w:pStyle w:val="Compact"/>
              <w:jc w:val="right"/>
            </w:pPr>
            <w:r>
              <w:rPr>
                <w:b/>
                <w:bCs/>
              </w:rPr>
              <w:t xml:space="preserve">$388M</w:t>
            </w:r>
          </w:p>
        </w:tc>
        <w:tc>
          <w:tcPr/>
          <w:p>
            <w:pPr>
              <w:pStyle w:val="Compact"/>
              <w:jc w:val="right"/>
            </w:pPr>
            <w:r>
              <w:rPr>
                <w:b/>
                <w:bCs/>
              </w:rPr>
              <w:t xml:space="preserve">$363M</w:t>
            </w:r>
          </w:p>
        </w:tc>
        <w:tc>
          <w:tcPr/>
          <w:p>
            <w:pPr>
              <w:pStyle w:val="Compact"/>
            </w:pPr>
            <w:r>
              <w:t xml:space="preserve">Margin resilience amid investment spend</w:t>
            </w:r>
          </w:p>
        </w:tc>
      </w:tr>
      <w:tr>
        <w:tc>
          <w:tcPr/>
          <w:p>
            <w:pPr>
              <w:pStyle w:val="Compact"/>
            </w:pPr>
            <w:r>
              <w:t xml:space="preserve">U.S. net earned-premium growth</w:t>
            </w:r>
          </w:p>
        </w:tc>
        <w:tc>
          <w:tcPr/>
          <w:p>
            <w:pPr>
              <w:pStyle w:val="Compact"/>
              <w:jc w:val="right"/>
            </w:pPr>
            <w:r>
              <w:rPr>
                <w:b/>
                <w:bCs/>
              </w:rPr>
              <w:t xml:space="preserve">+3.4%</w:t>
            </w:r>
          </w:p>
        </w:tc>
        <w:tc>
          <w:tcPr/>
          <w:p>
            <w:pPr>
              <w:pStyle w:val="Compact"/>
              <w:jc w:val="right"/>
            </w:pPr>
            <w:r>
              <w:rPr>
                <w:b/>
                <w:bCs/>
              </w:rPr>
              <w:t xml:space="preserve">+3.5%</w:t>
            </w:r>
          </w:p>
        </w:tc>
        <w:tc>
          <w:tcPr/>
          <w:p>
            <w:pPr>
              <w:pStyle w:val="Compact"/>
            </w:pPr>
            <w:r>
              <w:t xml:space="preserve">Durability of group-led growth</w:t>
            </w:r>
          </w:p>
        </w:tc>
      </w:tr>
      <w:tr>
        <w:tc>
          <w:tcPr/>
          <w:p>
            <w:pPr>
              <w:pStyle w:val="Compact"/>
            </w:pPr>
            <w:r>
              <w:t xml:space="preserve">U.S. sales growth</w:t>
            </w:r>
          </w:p>
        </w:tc>
        <w:tc>
          <w:tcPr/>
          <w:p>
            <w:pPr>
              <w:pStyle w:val="Compact"/>
              <w:jc w:val="right"/>
            </w:pPr>
            <w:r>
              <w:rPr>
                <w:b/>
                <w:bCs/>
              </w:rPr>
              <w:t xml:space="preserve">+2.7%</w:t>
            </w:r>
          </w:p>
        </w:tc>
        <w:tc>
          <w:tcPr/>
          <w:p>
            <w:pPr>
              <w:pStyle w:val="Compact"/>
              <w:jc w:val="right"/>
            </w:pPr>
            <w:r>
              <w:rPr>
                <w:b/>
                <w:bCs/>
              </w:rPr>
              <w:t xml:space="preserve">+2.9%</w:t>
            </w:r>
          </w:p>
        </w:tc>
        <w:tc>
          <w:tcPr/>
          <w:p>
            <w:pPr>
              <w:pStyle w:val="Compact"/>
            </w:pPr>
            <w:r>
              <w:t xml:space="preserve">Group momentum versus core-agent softness</w:t>
            </w:r>
          </w:p>
        </w:tc>
      </w:tr>
    </w:tbl>
    <w:p>
      <w:pPr>
        <w:pStyle w:val="BodyText"/>
      </w:pPr>
      <w:r>
        <w:rPr>
          <w:i/>
          <w:iCs/>
        </w:rPr>
        <w:t xml:space="preserve">Note: 2Q25 adjusted EPS included an unfavorable $0.05 per-share variable-investment-income shortfall and a $0.05 per-share benefit from a Japan make-whole call, complicating the year-over-year comparison.</w:t>
      </w:r>
    </w:p>
    <w:p>
      <w:r>
        <w:pict>
          <v:rect style="width:0;height:1.5pt" o:hralign="center" o:hrstd="t" o:hr="t"/>
        </w:pict>
      </w:r>
    </w:p>
    <w:bookmarkEnd w:id="17"/>
    <w:bookmarkStart w:id="21" w:name="bull-base-and-bear-framing"/>
    <w:p>
      <w:pPr>
        <w:pStyle w:val="Heading2"/>
      </w:pPr>
      <w:r>
        <w:t xml:space="preserve">Bull, base, and bear framing</w:t>
      </w:r>
    </w:p>
    <w:bookmarkStart w:id="18" w:name="bull-case"/>
    <w:p>
      <w:pPr>
        <w:pStyle w:val="Heading3"/>
      </w:pPr>
      <w:r>
        <w:t xml:space="preserve">Bull case</w:t>
      </w:r>
    </w:p>
    <w:p>
      <w:pPr>
        <w:pStyle w:val="Compact"/>
        <w:numPr>
          <w:ilvl w:val="0"/>
          <w:numId w:val="1009"/>
        </w:numPr>
      </w:pPr>
      <w:r>
        <w:t xml:space="preserve">Japan sales remain robust, supporting confidence in the path toward stabilizing earned premiums.</w:t>
      </w:r>
    </w:p>
    <w:p>
      <w:pPr>
        <w:pStyle w:val="Compact"/>
        <w:numPr>
          <w:ilvl w:val="0"/>
          <w:numId w:val="1009"/>
        </w:numPr>
      </w:pPr>
      <w:r>
        <w:t xml:space="preserve">Japan benefit experience stays favorable without relying excessively on reserve remeasurement.</w:t>
      </w:r>
    </w:p>
    <w:p>
      <w:pPr>
        <w:pStyle w:val="Compact"/>
        <w:numPr>
          <w:ilvl w:val="0"/>
          <w:numId w:val="1009"/>
        </w:numPr>
      </w:pPr>
      <w:r>
        <w:t xml:space="preserve">U.S. group growth sustains premium growth while expense pressure moderates.</w:t>
      </w:r>
    </w:p>
    <w:p>
      <w:pPr>
        <w:pStyle w:val="Compact"/>
        <w:numPr>
          <w:ilvl w:val="0"/>
          <w:numId w:val="1009"/>
        </w:numPr>
      </w:pPr>
      <w:r>
        <w:t xml:space="preserve">Credit and real-estate marks remain manageable.</w:t>
      </w:r>
    </w:p>
    <w:p>
      <w:pPr>
        <w:pStyle w:val="Compact"/>
        <w:numPr>
          <w:ilvl w:val="0"/>
          <w:numId w:val="1009"/>
        </w:numPr>
      </w:pPr>
      <w:r>
        <w:t xml:space="preserve">The cyberattack has limited operational and financial consequences.</w:t>
      </w:r>
    </w:p>
    <w:p>
      <w:pPr>
        <w:pStyle w:val="Compact"/>
        <w:numPr>
          <w:ilvl w:val="0"/>
          <w:numId w:val="1009"/>
        </w:numPr>
      </w:pPr>
      <w:r>
        <w:t xml:space="preserve">Buybacks remain sizable, supporting adjusted EPS and book value per share.</w:t>
      </w:r>
    </w:p>
    <w:bookmarkEnd w:id="18"/>
    <w:bookmarkStart w:id="19" w:name="base-case"/>
    <w:p>
      <w:pPr>
        <w:pStyle w:val="Heading3"/>
      </w:pPr>
      <w:r>
        <w:t xml:space="preserve">Base case</w:t>
      </w:r>
    </w:p>
    <w:p>
      <w:pPr>
        <w:pStyle w:val="Compact"/>
        <w:numPr>
          <w:ilvl w:val="0"/>
          <w:numId w:val="1010"/>
        </w:numPr>
      </w:pPr>
      <w:r>
        <w:t xml:space="preserve">Operating trends remain sound but uneven: Japan sales stay strong while in-force premiums continue to decline modestly; U.S. growth remains near the low-single-digit range.</w:t>
      </w:r>
    </w:p>
    <w:p>
      <w:pPr>
        <w:pStyle w:val="Compact"/>
        <w:numPr>
          <w:ilvl w:val="0"/>
          <w:numId w:val="1010"/>
        </w:numPr>
      </w:pPr>
      <w:r>
        <w:t xml:space="preserve">Benefit ratios normalize toward guidance ranges.</w:t>
      </w:r>
    </w:p>
    <w:p>
      <w:pPr>
        <w:pStyle w:val="Compact"/>
        <w:numPr>
          <w:ilvl w:val="0"/>
          <w:numId w:val="1010"/>
        </w:numPr>
      </w:pPr>
      <w:r>
        <w:t xml:space="preserve">Capital return continues, but management provides cautious commentary on cyber-related costs and Japan operational disruption.</w:t>
      </w:r>
    </w:p>
    <w:p>
      <w:pPr>
        <w:pStyle w:val="Compact"/>
        <w:numPr>
          <w:ilvl w:val="0"/>
          <w:numId w:val="1010"/>
        </w:numPr>
      </w:pPr>
      <w:r>
        <w:t xml:space="preserve">Adjusted EPS growth is primarily driven by share count reduction rather than a sharp acceleration in pre-buyback earnings.</w:t>
      </w:r>
    </w:p>
    <w:bookmarkEnd w:id="19"/>
    <w:bookmarkStart w:id="20" w:name="bear-case"/>
    <w:p>
      <w:pPr>
        <w:pStyle w:val="Heading3"/>
      </w:pPr>
      <w:r>
        <w:t xml:space="preserve">Bear case</w:t>
      </w:r>
    </w:p>
    <w:p>
      <w:pPr>
        <w:pStyle w:val="Compact"/>
        <w:numPr>
          <w:ilvl w:val="0"/>
          <w:numId w:val="1011"/>
        </w:numPr>
      </w:pPr>
      <w:r>
        <w:t xml:space="preserve">The Japan cyberattack produces larger-than-expected costs, sales disruption, regulatory scrutiny, or reputational damage.</w:t>
      </w:r>
    </w:p>
    <w:p>
      <w:pPr>
        <w:pStyle w:val="Compact"/>
        <w:numPr>
          <w:ilvl w:val="0"/>
          <w:numId w:val="1011"/>
        </w:numPr>
      </w:pPr>
      <w:r>
        <w:t xml:space="preserve">Japan claims normalize unfavorably, pushing the benefit ratio above the guided range.</w:t>
      </w:r>
    </w:p>
    <w:p>
      <w:pPr>
        <w:pStyle w:val="Compact"/>
        <w:numPr>
          <w:ilvl w:val="0"/>
          <w:numId w:val="1011"/>
        </w:numPr>
      </w:pPr>
      <w:r>
        <w:t xml:space="preserve">Japan sales lose momentum and the path to flat earned premiums recedes.</w:t>
      </w:r>
    </w:p>
    <w:p>
      <w:pPr>
        <w:pStyle w:val="Compact"/>
        <w:numPr>
          <w:ilvl w:val="0"/>
          <w:numId w:val="1011"/>
        </w:numPr>
      </w:pPr>
      <w:r>
        <w:t xml:space="preserve">U.S. expenses stay elevated while the core agency channel remains weak.</w:t>
      </w:r>
    </w:p>
    <w:p>
      <w:pPr>
        <w:pStyle w:val="Compact"/>
        <w:numPr>
          <w:ilvl w:val="0"/>
          <w:numId w:val="1011"/>
        </w:numPr>
      </w:pPr>
      <w:r>
        <w:t xml:space="preserve">Credit and commercial-real-estate impairments worsen, pressuring investment income and capital.</w:t>
      </w:r>
    </w:p>
    <w:p>
      <w:r>
        <w:pict>
          <v:rect style="width:0;height:1.5pt" o:hralign="center" o:hrstd="t" o:hr="t"/>
        </w:pict>
      </w:r>
    </w:p>
    <w:bookmarkEnd w:id="20"/>
    <w:bookmarkEnd w:id="21"/>
    <w:bookmarkStart w:id="23" w:name="takeaway"/>
    <w:p>
      <w:pPr>
        <w:pStyle w:val="Heading2"/>
      </w:pPr>
      <w:r>
        <w:t xml:space="preserve">Takeaway</w:t>
      </w:r>
    </w:p>
    <w:p>
      <w:pPr>
        <w:pStyle w:val="FirstParagraph"/>
      </w:pPr>
      <w:r>
        <w:t xml:space="preserve">The most investable issue is not simply whether AFL beats the quarter’s adjusted EPS expectation. It is whether management can demonstrate that</w:t>
      </w:r>
      <w:r>
        <w:t xml:space="preserve"> </w:t>
      </w:r>
      <w:r>
        <w:rPr>
          <w:b/>
          <w:bCs/>
        </w:rPr>
        <w:t xml:space="preserve">Japan’s new-product sales momentum is durable, U.S. group expansion can offset weakness in the traditional agency channel, and cyber-related disruption is contained</w:t>
      </w:r>
      <w:r>
        <w:t xml:space="preserve">.</w:t>
      </w:r>
    </w:p>
    <w:p>
      <w:pPr>
        <w:pStyle w:val="BodyText"/>
      </w:pPr>
      <w:r>
        <w:t xml:space="preserve">A strong quarter would pair healthy Japan sales and benefit-ratio discipline with stable U.S. margins, manageable credit marks, a clear cyber update, and continued aggressive capital return. The most consequential negative surprise would be evidence that the cyberattack or Japan premium dynamics impair the medium-term earnings trajectory.</w:t>
      </w:r>
    </w:p>
    <w:bookmarkStart w:id="22" w:name="primary-source-documents-reviewed"/>
    <w:p>
      <w:pPr>
        <w:pStyle w:val="Heading3"/>
      </w:pPr>
      <w:r>
        <w:t xml:space="preserve">Primary source documents reviewed</w:t>
      </w:r>
    </w:p>
    <w:p>
      <w:pPr>
        <w:pStyle w:val="Compact"/>
        <w:numPr>
          <w:ilvl w:val="0"/>
          <w:numId w:val="1012"/>
        </w:numPr>
      </w:pPr>
      <w:r>
        <w:t xml:space="preserve">Aflac 1Q26 earnings release and earnings-call transcript — April 29–30, 2026</w:t>
      </w:r>
    </w:p>
    <w:p>
      <w:pPr>
        <w:pStyle w:val="Compact"/>
        <w:numPr>
          <w:ilvl w:val="0"/>
          <w:numId w:val="1012"/>
        </w:numPr>
      </w:pPr>
      <w:r>
        <w:t xml:space="preserve">Aflac 1Q26 Form 10-Q — filed May 6, 2026</w:t>
      </w:r>
    </w:p>
    <w:p>
      <w:pPr>
        <w:pStyle w:val="Compact"/>
        <w:numPr>
          <w:ilvl w:val="0"/>
          <w:numId w:val="1012"/>
        </w:numPr>
      </w:pPr>
      <w:r>
        <w:t xml:space="preserve">Aflac Japan cyberattack Form 8-K — June 30, 2026</w:t>
      </w:r>
    </w:p>
    <w:p>
      <w:pPr>
        <w:pStyle w:val="Compact"/>
        <w:numPr>
          <w:ilvl w:val="0"/>
          <w:numId w:val="1012"/>
        </w:numPr>
      </w:pPr>
      <w:r>
        <w:t xml:space="preserve">Aflac 2Q25 earnings release — August 5, 2025</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2026-08-06T01:19:01Z</dcterms:created>
  <dcterms:modified xsi:type="dcterms:W3CDTF">2026-08-06T01:19:01Z</dcterms:modified>
</cp:coreProperties>
</file>

<file path=docProps/custom.xml><?xml version="1.0" encoding="utf-8"?>
<Properties xmlns="http://schemas.openxmlformats.org/officeDocument/2006/custom-properties" xmlns:vt="http://schemas.openxmlformats.org/officeDocument/2006/docPropsVTypes"/>
</file>