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Aflac Incorporated (AFL)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Aflac Incorporated</w:t>
            </w:r>
          </w:p>
        </w:tc>
      </w:tr>
      <w:tr>
        <w:tc>
          <w:tcPr>
            <w:tcW w:type="dxa" w:w="4320"/>
          </w:tcPr>
          <w:p>
            <w:r>
              <w:rPr>
                <w:rFonts w:ascii="Calibri" w:hAnsi="Calibri"/>
                <w:b/>
                <w:sz w:val="22"/>
              </w:rPr>
              <w:t>Ticker</w:t>
            </w:r>
          </w:p>
        </w:tc>
        <w:tc>
          <w:tcPr>
            <w:tcW w:type="dxa" w:w="4320"/>
          </w:tcPr>
          <w:p>
            <w:r>
              <w:rPr>
                <w:rFonts w:ascii="Calibri" w:hAnsi="Calibri"/>
                <w:sz w:val="22"/>
              </w:rPr>
              <w:t>AFL (NYSE)</w:t>
            </w:r>
          </w:p>
        </w:tc>
      </w:tr>
      <w:tr>
        <w:tc>
          <w:tcPr>
            <w:tcW w:type="dxa" w:w="4320"/>
          </w:tcPr>
          <w:p>
            <w:r>
              <w:rPr>
                <w:rFonts w:ascii="Calibri" w:hAnsi="Calibri"/>
                <w:b/>
                <w:sz w:val="22"/>
              </w:rPr>
              <w:t>Upcoming Earnings Date</w:t>
            </w:r>
          </w:p>
        </w:tc>
        <w:tc>
          <w:tcPr>
            <w:tcW w:type="dxa" w:w="4320"/>
          </w:tcPr>
          <w:p>
            <w:r>
              <w:rPr>
                <w:rFonts w:ascii="Calibri" w:hAnsi="Calibri"/>
                <w:sz w:val="22"/>
              </w:rPr>
              <w:t>August 6, 2026 (results release); Webcast August 7,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5, 2026</w:t>
            </w:r>
          </w:p>
        </w:tc>
      </w:tr>
      <w:tr>
        <w:tc>
          <w:tcPr>
            <w:tcW w:type="dxa" w:w="4320"/>
          </w:tcPr>
          <w:p>
            <w:r>
              <w:rPr>
                <w:rFonts w:ascii="Calibri" w:hAnsi="Calibri"/>
                <w:b/>
                <w:sz w:val="22"/>
              </w:rPr>
              <w:t>Sector ETF Benchmark</w:t>
            </w:r>
          </w:p>
        </w:tc>
        <w:tc>
          <w:tcPr>
            <w:tcW w:type="dxa" w:w="4320"/>
          </w:tcPr>
          <w:p>
            <w:r>
              <w:rPr>
                <w:rFonts w:ascii="Calibri" w:hAnsi="Calibri"/>
                <w:sz w:val="22"/>
              </w:rPr>
              <w:t>KIE (SPDR S&amp;P Insurance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mixed-to-slightly-cautious — consensus has drifted lower since Q1 earnings and the bar is not demanding, but the Japan cyberattack and a modestly negative Corporate &amp; Other segment create incremental uncertainty heading into the print.</w:t>
      </w:r>
    </w:p>
    <w:p>
      <w:r>
        <w:rPr>
          <w:rFonts w:ascii="Calibri" w:hAnsi="Calibri"/>
          <w:color w:val="525866"/>
          <w:sz w:val="22"/>
        </w:rPr>
        <w:t xml:space="preserve">Heading into Q2 2026, the consensus bar for AFL is manageable: adjusted EPS estimates have drifted from ~$1.79 at the Q1 print to ~$1.77 today, a modest downward revision that leaves room for an in-line or slight beat if Japan sales momentum and benefit ratios hold. </w:t>
      </w:r>
      <w:r>
        <w:rPr>
          <w:rFonts w:ascii="Calibri" w:hAnsi="Calibri"/>
          <w:b/>
          <w:color w:val="525866"/>
          <w:sz w:val="22"/>
        </w:rPr>
        <w:t>Management's tone on the Q1 call was constructive</w:t>
      </w:r>
      <w:r>
        <w:rPr>
          <w:rFonts w:ascii="Calibri" w:hAnsi="Calibri"/>
          <w:color w:val="525866"/>
          <w:sz w:val="22"/>
        </w:rPr>
        <w:t xml:space="preserve"> — CEO Dan Amos guided Japan full-year 2026 sales toward ~¥80 billion (above the official ¥74 billion baseline), and the U.S. group business was tracking +12.4% YoY in Q1 — but the Corporate &amp; Other segment was guided to be </w:t>
      </w:r>
      <w:r>
        <w:rPr>
          <w:rFonts w:ascii="Calibri" w:hAnsi="Calibri"/>
          <w:b/>
          <w:color w:val="525866"/>
          <w:sz w:val="22"/>
        </w:rPr>
        <w:t>"slightly negative" in Q2 pretax earnings</w:t>
      </w:r>
      <w:r>
        <w:rPr>
          <w:rFonts w:ascii="Calibri" w:hAnsi="Calibri"/>
          <w:color w:val="525866"/>
          <w:sz w:val="22"/>
        </w:rPr>
        <w:t xml:space="preserve">, a headwind versus the prior year's $43 million gain. Estimate revisions have tracked guidance directionally but remain slightly below management's informal ¥80 billion Japan sales aspiration, suggesting the street is not fully pricing in the upside scenario. The stock has rallied ~8% since Q1 earnings (vs. KIE +12%, SPY +8%), underperforming the insurance sector ETF, which implies AFL has not fully priced in a beat and the multiple remains in the mid-teens — neither stretched nor cheap. </w:t>
      </w:r>
      <w:r>
        <w:rPr>
          <w:rFonts w:ascii="Calibri" w:hAnsi="Calibri"/>
          <w:b/>
          <w:color w:val="525866"/>
          <w:sz w:val="22"/>
        </w:rPr>
        <w:t>The single biggest wildcard is the Aflac Japan cyberattack disclosed June 30, 2026</w:t>
      </w:r>
      <w:r>
        <w:rPr>
          <w:rFonts w:ascii="Calibri" w:hAnsi="Calibri"/>
          <w:color w:val="525866"/>
          <w:sz w:val="22"/>
        </w:rPr>
        <w:t>: 4.38 million customer records were exposed, and while no financial misuse has been confirmed, regulatory scrutiny from Japan's FSA and potential remediation costs could weigh on Japan segment earnings and management credibility on the call.</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low-to-moderate bar on adjusted EPS (~$1.77) with Japan third-sector sales the bigger swing factor — Q1 came in well above consensus and a repeat would be a meaningful positive surprise. The benefit ratio is the key margin lever to watch.</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Adjusted EPS (Diluted)</w:t>
            </w:r>
          </w:p>
        </w:tc>
        <w:tc>
          <w:tcPr>
            <w:tcW w:type="dxa" w:w="1234"/>
          </w:tcPr>
          <w:p>
            <w:r>
              <w:rPr>
                <w:rFonts w:ascii="Calibri" w:hAnsi="Calibri"/>
                <w:sz w:val="22"/>
              </w:rPr>
              <w:t>$1.75</w:t>
            </w:r>
          </w:p>
        </w:tc>
        <w:tc>
          <w:tcPr>
            <w:tcW w:type="dxa" w:w="1234"/>
          </w:tcPr>
          <w:p>
            <w:r>
              <w:rPr>
                <w:rFonts w:ascii="Calibri" w:hAnsi="Calibri"/>
                <w:sz w:val="22"/>
              </w:rPr>
              <w:t>$1.78</w:t>
            </w:r>
          </w:p>
        </w:tc>
        <w:tc>
          <w:tcPr>
            <w:tcW w:type="dxa" w:w="1234"/>
          </w:tcPr>
          <w:p>
            <w:r>
              <w:rPr>
                <w:rFonts w:ascii="Calibri" w:hAnsi="Calibri"/>
                <w:sz w:val="22"/>
              </w:rPr>
              <w:t>$1.77</w:t>
            </w:r>
          </w:p>
        </w:tc>
        <w:tc>
          <w:tcPr>
            <w:tcW w:type="dxa" w:w="1234"/>
          </w:tcPr>
          <w:p>
            <w:r>
              <w:rPr>
                <w:rFonts w:ascii="Calibri" w:hAnsi="Calibri"/>
                <w:sz w:val="22"/>
              </w:rPr>
              <w:t>-0.6%</w:t>
            </w:r>
          </w:p>
        </w:tc>
        <w:tc>
          <w:tcPr>
            <w:tcW w:type="dxa" w:w="1234"/>
          </w:tcPr>
          <w:p>
            <w:r>
              <w:rPr>
                <w:rFonts w:ascii="Calibri" w:hAnsi="Calibri"/>
                <w:sz w:val="22"/>
              </w:rPr>
              <w:t>No explicit quarterly guidance; FY 2026 consensus ~$7.04</w:t>
            </w:r>
          </w:p>
        </w:tc>
        <w:tc>
          <w:tcPr>
            <w:tcW w:type="dxa" w:w="1234"/>
          </w:tcPr>
          <w:p>
            <w:r>
              <w:rPr>
                <w:rFonts w:ascii="Calibri" w:hAnsi="Calibri"/>
                <w:sz w:val="22"/>
              </w:rPr>
              <w:t>N/A (no quarterly guidance)</w:t>
            </w:r>
          </w:p>
        </w:tc>
      </w:tr>
      <w:tr>
        <w:tc>
          <w:tcPr>
            <w:tcW w:type="dxa" w:w="1234"/>
          </w:tcPr>
          <w:p>
            <w:r>
              <w:rPr>
                <w:rFonts w:ascii="Calibri" w:hAnsi="Calibri"/>
                <w:sz w:val="22"/>
              </w:rPr>
              <w:t>Net Premium Income (Operating)</w:t>
            </w:r>
          </w:p>
        </w:tc>
        <w:tc>
          <w:tcPr>
            <w:tcW w:type="dxa" w:w="1234"/>
          </w:tcPr>
          <w:p>
            <w:r>
              <w:rPr>
                <w:rFonts w:ascii="Calibri" w:hAnsi="Calibri"/>
                <w:sz w:val="22"/>
              </w:rPr>
              <w:t>$3.31B</w:t>
            </w:r>
          </w:p>
        </w:tc>
        <w:tc>
          <w:tcPr>
            <w:tcW w:type="dxa" w:w="1234"/>
          </w:tcPr>
          <w:p>
            <w:r>
              <w:rPr>
                <w:rFonts w:ascii="Calibri" w:hAnsi="Calibri"/>
                <w:sz w:val="22"/>
              </w:rPr>
              <w:t>$3.47B</w:t>
            </w:r>
          </w:p>
        </w:tc>
        <w:tc>
          <w:tcPr>
            <w:tcW w:type="dxa" w:w="1234"/>
          </w:tcPr>
          <w:p>
            <w:r>
              <w:rPr>
                <w:rFonts w:ascii="Calibri" w:hAnsi="Calibri"/>
                <w:sz w:val="22"/>
              </w:rPr>
              <w:t>$3.29B</w:t>
            </w:r>
          </w:p>
        </w:tc>
        <w:tc>
          <w:tcPr>
            <w:tcW w:type="dxa" w:w="1234"/>
          </w:tcPr>
          <w:p>
            <w:r>
              <w:rPr>
                <w:rFonts w:ascii="Calibri" w:hAnsi="Calibri"/>
                <w:sz w:val="22"/>
              </w:rPr>
              <w:t>-5.2%</w:t>
            </w:r>
          </w:p>
        </w:tc>
        <w:tc>
          <w:tcPr>
            <w:tcW w:type="dxa" w:w="1234"/>
          </w:tcPr>
          <w:p>
            <w:r>
              <w:rPr>
                <w:rFonts w:ascii="Calibri" w:hAnsi="Calibri"/>
                <w:sz w:val="22"/>
              </w:rPr>
              <w:t>FY 2026 consensus ~$13.13B</w:t>
            </w:r>
          </w:p>
        </w:tc>
        <w:tc>
          <w:tcPr>
            <w:tcW w:type="dxa" w:w="1234"/>
          </w:tcPr>
          <w:p>
            <w:r>
              <w:rPr>
                <w:rFonts w:ascii="Calibri" w:hAnsi="Calibri"/>
                <w:sz w:val="22"/>
              </w:rPr>
              <w:t>N/A (no quarterly guidance)</w:t>
            </w:r>
          </w:p>
        </w:tc>
      </w:tr>
      <w:tr>
        <w:tc>
          <w:tcPr>
            <w:tcW w:type="dxa" w:w="1234"/>
          </w:tcPr>
          <w:p>
            <w:r>
              <w:rPr>
                <w:rFonts w:ascii="Calibri" w:hAnsi="Calibri"/>
                <w:sz w:val="22"/>
              </w:rPr>
              <w:t>Total Operating Revenue</w:t>
            </w:r>
          </w:p>
        </w:tc>
        <w:tc>
          <w:tcPr>
            <w:tcW w:type="dxa" w:w="1234"/>
          </w:tcPr>
          <w:p>
            <w:r>
              <w:rPr>
                <w:rFonts w:ascii="Calibri" w:hAnsi="Calibri"/>
                <w:sz w:val="22"/>
              </w:rPr>
              <w:t>$4.24B</w:t>
            </w:r>
          </w:p>
        </w:tc>
        <w:tc>
          <w:tcPr>
            <w:tcW w:type="dxa" w:w="1234"/>
          </w:tcPr>
          <w:p>
            <w:r>
              <w:rPr>
                <w:rFonts w:ascii="Calibri" w:hAnsi="Calibri"/>
                <w:sz w:val="22"/>
              </w:rPr>
              <w:t>$4.54B</w:t>
            </w:r>
          </w:p>
        </w:tc>
        <w:tc>
          <w:tcPr>
            <w:tcW w:type="dxa" w:w="1234"/>
          </w:tcPr>
          <w:p>
            <w:r>
              <w:rPr>
                <w:rFonts w:ascii="Calibri" w:hAnsi="Calibri"/>
                <w:sz w:val="22"/>
              </w:rPr>
              <w:t>$4.23B</w:t>
            </w:r>
          </w:p>
        </w:tc>
        <w:tc>
          <w:tcPr>
            <w:tcW w:type="dxa" w:w="1234"/>
          </w:tcPr>
          <w:p>
            <w:r>
              <w:rPr>
                <w:rFonts w:ascii="Calibri" w:hAnsi="Calibri"/>
                <w:sz w:val="22"/>
              </w:rPr>
              <w:t>-6.8%</w:t>
            </w:r>
          </w:p>
        </w:tc>
        <w:tc>
          <w:tcPr>
            <w:tcW w:type="dxa" w:w="1234"/>
          </w:tcPr>
          <w:p>
            <w:r>
              <w:rPr>
                <w:rFonts w:ascii="Calibri" w:hAnsi="Calibri"/>
                <w:sz w:val="22"/>
              </w:rPr>
              <w:t>FY 2026 consensus ~$16.92B</w:t>
            </w:r>
          </w:p>
        </w:tc>
        <w:tc>
          <w:tcPr>
            <w:tcW w:type="dxa" w:w="1234"/>
          </w:tcPr>
          <w:p>
            <w:r>
              <w:rPr>
                <w:rFonts w:ascii="Calibri" w:hAnsi="Calibri"/>
                <w:sz w:val="22"/>
              </w:rPr>
              <w:t>N/A (no quarterly guidance)</w:t>
            </w:r>
          </w:p>
        </w:tc>
      </w:tr>
      <w:tr>
        <w:tc>
          <w:tcPr>
            <w:tcW w:type="dxa" w:w="1234"/>
          </w:tcPr>
          <w:p>
            <w:r>
              <w:rPr>
                <w:rFonts w:ascii="Calibri" w:hAnsi="Calibri"/>
                <w:sz w:val="22"/>
              </w:rPr>
              <w:t>Benefits &amp; Claims Ratio (Consolidated)</w:t>
            </w:r>
          </w:p>
        </w:tc>
        <w:tc>
          <w:tcPr>
            <w:tcW w:type="dxa" w:w="1234"/>
          </w:tcPr>
          <w:p>
            <w:r>
              <w:rPr>
                <w:rFonts w:ascii="Calibri" w:hAnsi="Calibri"/>
                <w:sz w:val="22"/>
              </w:rPr>
              <w:t>55.4%</w:t>
            </w:r>
          </w:p>
        </w:tc>
        <w:tc>
          <w:tcPr>
            <w:tcW w:type="dxa" w:w="1234"/>
          </w:tcPr>
          <w:p>
            <w:r>
              <w:rPr>
                <w:rFonts w:ascii="Calibri" w:hAnsi="Calibri"/>
                <w:sz w:val="22"/>
              </w:rPr>
              <w:t>57.9%</w:t>
            </w:r>
          </w:p>
        </w:tc>
        <w:tc>
          <w:tcPr>
            <w:tcW w:type="dxa" w:w="1234"/>
          </w:tcPr>
          <w:p>
            <w:r>
              <w:rPr>
                <w:rFonts w:ascii="Calibri" w:hAnsi="Calibri"/>
                <w:sz w:val="22"/>
              </w:rPr>
              <w:t>55.5%</w:t>
            </w:r>
          </w:p>
        </w:tc>
        <w:tc>
          <w:tcPr>
            <w:tcW w:type="dxa" w:w="1234"/>
          </w:tcPr>
          <w:p>
            <w:r>
              <w:rPr>
                <w:rFonts w:ascii="Calibri" w:hAnsi="Calibri"/>
                <w:sz w:val="22"/>
              </w:rPr>
              <w:t>-240 bps</w:t>
            </w:r>
          </w:p>
        </w:tc>
        <w:tc>
          <w:tcPr>
            <w:tcW w:type="dxa" w:w="1234"/>
          </w:tcPr>
          <w:p>
            <w:r>
              <w:rPr>
                <w:rFonts w:ascii="Calibri" w:hAnsi="Calibri"/>
                <w:sz w:val="22"/>
              </w:rPr>
              <w:t>Japan: 60–63%; U.S.: 48–52%</w:t>
            </w:r>
          </w:p>
        </w:tc>
        <w:tc>
          <w:tcPr>
            <w:tcW w:type="dxa" w:w="1234"/>
          </w:tcPr>
          <w:p>
            <w:r>
              <w:rPr>
                <w:rFonts w:ascii="Calibri" w:hAnsi="Calibri"/>
                <w:sz w:val="22"/>
              </w:rPr>
              <w:t>Within guidance range</w:t>
            </w:r>
          </w:p>
        </w:tc>
      </w:tr>
      <w:tr>
        <w:tc>
          <w:tcPr>
            <w:tcW w:type="dxa" w:w="1234"/>
          </w:tcPr>
          <w:p>
            <w:r>
              <w:rPr>
                <w:rFonts w:ascii="Calibri" w:hAnsi="Calibri"/>
                <w:sz w:val="22"/>
              </w:rPr>
              <w:t>Japan Benefit Ratio</w:t>
            </w:r>
          </w:p>
        </w:tc>
        <w:tc>
          <w:tcPr>
            <w:tcW w:type="dxa" w:w="1234"/>
          </w:tcPr>
          <w:p>
            <w:r>
              <w:rPr>
                <w:rFonts w:ascii="Calibri" w:hAnsi="Calibri"/>
                <w:sz w:val="22"/>
              </w:rPr>
              <w:t>62.9%</w:t>
            </w:r>
          </w:p>
        </w:tc>
        <w:tc>
          <w:tcPr>
            <w:tcW w:type="dxa" w:w="1234"/>
          </w:tcPr>
          <w:p>
            <w:r>
              <w:rPr>
                <w:rFonts w:ascii="Calibri" w:hAnsi="Calibri"/>
                <w:sz w:val="22"/>
              </w:rPr>
              <w:t>66.5%</w:t>
            </w:r>
          </w:p>
        </w:tc>
        <w:tc>
          <w:tcPr>
            <w:tcW w:type="dxa" w:w="1234"/>
          </w:tcPr>
          <w:p>
            <w:r>
              <w:rPr>
                <w:rFonts w:ascii="Calibri" w:hAnsi="Calibri"/>
                <w:sz w:val="22"/>
              </w:rPr>
              <w:t>61.8%</w:t>
            </w:r>
          </w:p>
        </w:tc>
        <w:tc>
          <w:tcPr>
            <w:tcW w:type="dxa" w:w="1234"/>
          </w:tcPr>
          <w:p>
            <w:r>
              <w:rPr>
                <w:rFonts w:ascii="Calibri" w:hAnsi="Calibri"/>
                <w:sz w:val="22"/>
              </w:rPr>
              <w:t>-470 bps</w:t>
            </w:r>
          </w:p>
        </w:tc>
        <w:tc>
          <w:tcPr>
            <w:tcW w:type="dxa" w:w="1234"/>
          </w:tcPr>
          <w:p>
            <w:r>
              <w:rPr>
                <w:rFonts w:ascii="Calibri" w:hAnsi="Calibri"/>
                <w:sz w:val="22"/>
              </w:rPr>
              <w:t>60–63%</w:t>
            </w:r>
          </w:p>
        </w:tc>
        <w:tc>
          <w:tcPr>
            <w:tcW w:type="dxa" w:w="1234"/>
          </w:tcPr>
          <w:p>
            <w:r>
              <w:rPr>
                <w:rFonts w:ascii="Calibri" w:hAnsi="Calibri"/>
                <w:sz w:val="22"/>
              </w:rPr>
              <w:t>~-120 bps below midpoint (favorable)</w:t>
            </w:r>
          </w:p>
        </w:tc>
      </w:tr>
      <w:tr>
        <w:tc>
          <w:tcPr>
            <w:tcW w:type="dxa" w:w="1234"/>
          </w:tcPr>
          <w:p>
            <w:r>
              <w:rPr>
                <w:rFonts w:ascii="Calibri" w:hAnsi="Calibri"/>
                <w:sz w:val="22"/>
              </w:rPr>
              <w:t>U.S. Benefit Ratio</w:t>
            </w:r>
          </w:p>
        </w:tc>
        <w:tc>
          <w:tcPr>
            <w:tcW w:type="dxa" w:w="1234"/>
          </w:tcPr>
          <w:p>
            <w:r>
              <w:rPr>
                <w:rFonts w:ascii="Calibri" w:hAnsi="Calibri"/>
                <w:sz w:val="22"/>
              </w:rPr>
              <w:t>47.2%</w:t>
            </w:r>
          </w:p>
        </w:tc>
        <w:tc>
          <w:tcPr>
            <w:tcW w:type="dxa" w:w="1234"/>
          </w:tcPr>
          <w:p>
            <w:r>
              <w:rPr>
                <w:rFonts w:ascii="Calibri" w:hAnsi="Calibri"/>
                <w:sz w:val="22"/>
              </w:rPr>
              <w:t>47.3%</w:t>
            </w:r>
          </w:p>
        </w:tc>
        <w:tc>
          <w:tcPr>
            <w:tcW w:type="dxa" w:w="1234"/>
          </w:tcPr>
          <w:p>
            <w:r>
              <w:rPr>
                <w:rFonts w:ascii="Calibri" w:hAnsi="Calibri"/>
                <w:sz w:val="22"/>
              </w:rPr>
              <w:t>48.9%</w:t>
            </w:r>
          </w:p>
        </w:tc>
        <w:tc>
          <w:tcPr>
            <w:tcW w:type="dxa" w:w="1234"/>
          </w:tcPr>
          <w:p>
            <w:r>
              <w:rPr>
                <w:rFonts w:ascii="Calibri" w:hAnsi="Calibri"/>
                <w:sz w:val="22"/>
              </w:rPr>
              <w:t>+160 bps</w:t>
            </w:r>
          </w:p>
        </w:tc>
        <w:tc>
          <w:tcPr>
            <w:tcW w:type="dxa" w:w="1234"/>
          </w:tcPr>
          <w:p>
            <w:r>
              <w:rPr>
                <w:rFonts w:ascii="Calibri" w:hAnsi="Calibri"/>
                <w:sz w:val="22"/>
              </w:rPr>
              <w:t>48–52%</w:t>
            </w:r>
          </w:p>
        </w:tc>
        <w:tc>
          <w:tcPr>
            <w:tcW w:type="dxa" w:w="1234"/>
          </w:tcPr>
          <w:p>
            <w:r>
              <w:rPr>
                <w:rFonts w:ascii="Calibri" w:hAnsi="Calibri"/>
                <w:sz w:val="22"/>
              </w:rPr>
              <w:t>At low end of guidance range</w:t>
            </w:r>
          </w:p>
        </w:tc>
      </w:tr>
      <w:tr>
        <w:tc>
          <w:tcPr>
            <w:tcW w:type="dxa" w:w="1234"/>
          </w:tcPr>
          <w:p>
            <w:r>
              <w:rPr>
                <w:rFonts w:ascii="Calibri" w:hAnsi="Calibri"/>
                <w:sz w:val="22"/>
              </w:rPr>
              <w:t>Japan Operating Income</w:t>
            </w:r>
          </w:p>
        </w:tc>
        <w:tc>
          <w:tcPr>
            <w:tcW w:type="dxa" w:w="1234"/>
          </w:tcPr>
          <w:p>
            <w:r>
              <w:rPr>
                <w:rFonts w:ascii="Calibri" w:hAnsi="Calibri"/>
                <w:sz w:val="22"/>
              </w:rPr>
              <w:t>$759M</w:t>
            </w:r>
          </w:p>
        </w:tc>
        <w:tc>
          <w:tcPr>
            <w:tcW w:type="dxa" w:w="1234"/>
          </w:tcPr>
          <w:p>
            <w:r>
              <w:rPr>
                <w:rFonts w:ascii="Calibri" w:hAnsi="Calibri"/>
                <w:sz w:val="22"/>
              </w:rPr>
              <w:t>$790M</w:t>
            </w:r>
          </w:p>
        </w:tc>
        <w:tc>
          <w:tcPr>
            <w:tcW w:type="dxa" w:w="1234"/>
          </w:tcPr>
          <w:p>
            <w:r>
              <w:rPr>
                <w:rFonts w:ascii="Calibri" w:hAnsi="Calibri"/>
                <w:sz w:val="22"/>
              </w:rPr>
              <w:t>$753M</w:t>
            </w:r>
          </w:p>
        </w:tc>
        <w:tc>
          <w:tcPr>
            <w:tcW w:type="dxa" w:w="1234"/>
          </w:tcPr>
          <w:p>
            <w:r>
              <w:rPr>
                <w:rFonts w:ascii="Calibri" w:hAnsi="Calibri"/>
                <w:sz w:val="22"/>
              </w:rPr>
              <w:t>-4.7%</w:t>
            </w:r>
          </w:p>
        </w:tc>
        <w:tc>
          <w:tcPr>
            <w:tcW w:type="dxa" w:w="1234"/>
          </w:tcPr>
          <w:p>
            <w:r>
              <w:rPr>
                <w:rFonts w:ascii="Calibri" w:hAnsi="Calibri"/>
                <w:sz w:val="22"/>
              </w:rPr>
              <w:t>FY 2026 consensus ~$3.00B</w:t>
            </w:r>
          </w:p>
        </w:tc>
        <w:tc>
          <w:tcPr>
            <w:tcW w:type="dxa" w:w="1234"/>
          </w:tcPr>
          <w:p>
            <w:r>
              <w:rPr>
                <w:rFonts w:ascii="Calibri" w:hAnsi="Calibri"/>
                <w:sz w:val="22"/>
              </w:rPr>
              <w:t>N/A (no quarterly guidance)</w:t>
            </w:r>
          </w:p>
        </w:tc>
      </w:tr>
      <w:tr>
        <w:tc>
          <w:tcPr>
            <w:tcW w:type="dxa" w:w="1234"/>
          </w:tcPr>
          <w:p>
            <w:r>
              <w:rPr>
                <w:rFonts w:ascii="Calibri" w:hAnsi="Calibri"/>
                <w:sz w:val="22"/>
              </w:rPr>
              <w:t>U.S. Operating Income</w:t>
            </w:r>
          </w:p>
        </w:tc>
        <w:tc>
          <w:tcPr>
            <w:tcW w:type="dxa" w:w="1234"/>
          </w:tcPr>
          <w:p>
            <w:r>
              <w:rPr>
                <w:rFonts w:ascii="Calibri" w:hAnsi="Calibri"/>
                <w:sz w:val="22"/>
              </w:rPr>
              <w:t>$363M</w:t>
            </w:r>
          </w:p>
        </w:tc>
        <w:tc>
          <w:tcPr>
            <w:tcW w:type="dxa" w:w="1234"/>
          </w:tcPr>
          <w:p>
            <w:r>
              <w:rPr>
                <w:rFonts w:ascii="Calibri" w:hAnsi="Calibri"/>
                <w:sz w:val="22"/>
              </w:rPr>
              <w:t>$388M</w:t>
            </w:r>
          </w:p>
        </w:tc>
        <w:tc>
          <w:tcPr>
            <w:tcW w:type="dxa" w:w="1234"/>
          </w:tcPr>
          <w:p>
            <w:r>
              <w:rPr>
                <w:rFonts w:ascii="Calibri" w:hAnsi="Calibri"/>
                <w:sz w:val="22"/>
              </w:rPr>
              <w:t>$361M</w:t>
            </w:r>
          </w:p>
        </w:tc>
        <w:tc>
          <w:tcPr>
            <w:tcW w:type="dxa" w:w="1234"/>
          </w:tcPr>
          <w:p>
            <w:r>
              <w:rPr>
                <w:rFonts w:ascii="Calibri" w:hAnsi="Calibri"/>
                <w:sz w:val="22"/>
              </w:rPr>
              <w:t>-7.0%</w:t>
            </w:r>
          </w:p>
        </w:tc>
        <w:tc>
          <w:tcPr>
            <w:tcW w:type="dxa" w:w="1234"/>
          </w:tcPr>
          <w:p>
            <w:r>
              <w:rPr>
                <w:rFonts w:ascii="Calibri" w:hAnsi="Calibri"/>
                <w:sz w:val="22"/>
              </w:rPr>
              <w:t>FY 2026 consensus ~$1.40B</w:t>
            </w:r>
          </w:p>
        </w:tc>
        <w:tc>
          <w:tcPr>
            <w:tcW w:type="dxa" w:w="1234"/>
          </w:tcPr>
          <w:p>
            <w:r>
              <w:rPr>
                <w:rFonts w:ascii="Calibri" w:hAnsi="Calibri"/>
                <w:sz w:val="22"/>
              </w:rPr>
              <w:t>N/A (no quarterly guidance)</w:t>
            </w:r>
          </w:p>
        </w:tc>
      </w:tr>
      <w:tr>
        <w:tc>
          <w:tcPr>
            <w:tcW w:type="dxa" w:w="1234"/>
          </w:tcPr>
          <w:p>
            <w:r>
              <w:rPr>
                <w:rFonts w:ascii="Calibri" w:hAnsi="Calibri"/>
                <w:sz w:val="22"/>
              </w:rPr>
              <w:t>Japan Third-Sector Sales (¥B)</w:t>
            </w:r>
          </w:p>
        </w:tc>
        <w:tc>
          <w:tcPr>
            <w:tcW w:type="dxa" w:w="1234"/>
          </w:tcPr>
          <w:p>
            <w:r>
              <w:rPr>
                <w:rFonts w:ascii="Calibri" w:hAnsi="Calibri"/>
                <w:sz w:val="22"/>
              </w:rPr>
              <w:t>¥13.8B</w:t>
            </w:r>
          </w:p>
        </w:tc>
        <w:tc>
          <w:tcPr>
            <w:tcW w:type="dxa" w:w="1234"/>
          </w:tcPr>
          <w:p>
            <w:r>
              <w:rPr>
                <w:rFonts w:ascii="Calibri" w:hAnsi="Calibri"/>
                <w:sz w:val="22"/>
              </w:rPr>
              <w:t>¥17.5B</w:t>
            </w:r>
          </w:p>
        </w:tc>
        <w:tc>
          <w:tcPr>
            <w:tcW w:type="dxa" w:w="1234"/>
          </w:tcPr>
          <w:p>
            <w:r>
              <w:rPr>
                <w:rFonts w:ascii="Calibri" w:hAnsi="Calibri"/>
                <w:sz w:val="22"/>
              </w:rPr>
              <w:t>¥17.98B</w:t>
            </w:r>
          </w:p>
        </w:tc>
        <w:tc>
          <w:tcPr>
            <w:tcW w:type="dxa" w:w="1234"/>
          </w:tcPr>
          <w:p>
            <w:r>
              <w:rPr>
                <w:rFonts w:ascii="Calibri" w:hAnsi="Calibri"/>
                <w:sz w:val="22"/>
              </w:rPr>
              <w:t>+2.7%</w:t>
            </w:r>
          </w:p>
        </w:tc>
        <w:tc>
          <w:tcPr>
            <w:tcW w:type="dxa" w:w="1234"/>
          </w:tcPr>
          <w:p>
            <w:r>
              <w:rPr>
                <w:rFonts w:ascii="Calibri" w:hAnsi="Calibri"/>
                <w:sz w:val="22"/>
              </w:rPr>
              <w:t>FY 2026 consensus ~¥66.4B</w:t>
            </w:r>
          </w:p>
        </w:tc>
        <w:tc>
          <w:tcPr>
            <w:tcW w:type="dxa" w:w="1234"/>
          </w:tcPr>
          <w:p>
            <w:r>
              <w:rPr>
                <w:rFonts w:ascii="Calibri" w:hAnsi="Calibri"/>
                <w:sz w:val="22"/>
              </w:rPr>
              <w:t>N/A (no quarterly guidance)</w:t>
            </w:r>
          </w:p>
        </w:tc>
      </w:tr>
      <w:tr>
        <w:tc>
          <w:tcPr>
            <w:tcW w:type="dxa" w:w="1234"/>
          </w:tcPr>
          <w:p>
            <w:r>
              <w:rPr>
                <w:rFonts w:ascii="Calibri" w:hAnsi="Calibri"/>
                <w:sz w:val="22"/>
              </w:rPr>
              <w:t>Japan Total New Premiums (¥B)</w:t>
            </w:r>
          </w:p>
        </w:tc>
        <w:tc>
          <w:tcPr>
            <w:tcW w:type="dxa" w:w="1234"/>
          </w:tcPr>
          <w:p>
            <w:r>
              <w:rPr>
                <w:rFonts w:ascii="Calibri" w:hAnsi="Calibri"/>
                <w:sz w:val="22"/>
              </w:rPr>
              <w:t>¥17.7B</w:t>
            </w:r>
          </w:p>
        </w:tc>
        <w:tc>
          <w:tcPr>
            <w:tcW w:type="dxa" w:w="1234"/>
          </w:tcPr>
          <w:p>
            <w:r>
              <w:rPr>
                <w:rFonts w:ascii="Calibri" w:hAnsi="Calibri"/>
                <w:sz w:val="22"/>
              </w:rPr>
              <w:t>¥20.7B</w:t>
            </w:r>
          </w:p>
        </w:tc>
        <w:tc>
          <w:tcPr>
            <w:tcW w:type="dxa" w:w="1234"/>
          </w:tcPr>
          <w:p>
            <w:r>
              <w:rPr>
                <w:rFonts w:ascii="Calibri" w:hAnsi="Calibri"/>
                <w:sz w:val="22"/>
              </w:rPr>
              <w:t>¥20.96B</w:t>
            </w:r>
          </w:p>
        </w:tc>
        <w:tc>
          <w:tcPr>
            <w:tcW w:type="dxa" w:w="1234"/>
          </w:tcPr>
          <w:p>
            <w:r>
              <w:rPr>
                <w:rFonts w:ascii="Calibri" w:hAnsi="Calibri"/>
                <w:sz w:val="22"/>
              </w:rPr>
              <w:t>+1.3%</w:t>
            </w:r>
          </w:p>
        </w:tc>
        <w:tc>
          <w:tcPr>
            <w:tcW w:type="dxa" w:w="1234"/>
          </w:tcPr>
          <w:p>
            <w:r>
              <w:rPr>
                <w:rFonts w:ascii="Calibri" w:hAnsi="Calibri"/>
                <w:sz w:val="22"/>
              </w:rPr>
              <w:t>CEO target ~¥80B FY 2026</w:t>
            </w:r>
          </w:p>
        </w:tc>
        <w:tc>
          <w:tcPr>
            <w:tcW w:type="dxa" w:w="1234"/>
          </w:tcPr>
          <w:p>
            <w:r>
              <w:rPr>
                <w:rFonts w:ascii="Calibri" w:hAnsi="Calibri"/>
                <w:sz w:val="22"/>
              </w:rPr>
              <w:t>FY consensus ¥79.0B vs. CEO target ¥80B (-1.2%)</w:t>
            </w:r>
          </w:p>
        </w:tc>
      </w:tr>
      <w:tr>
        <w:tc>
          <w:tcPr>
            <w:tcW w:type="dxa" w:w="1234"/>
          </w:tcPr>
          <w:p>
            <w:r>
              <w:rPr>
                <w:rFonts w:ascii="Calibri" w:hAnsi="Calibri"/>
                <w:sz w:val="22"/>
              </w:rPr>
              <w:t>U.S. Total New Premiums</w:t>
            </w:r>
          </w:p>
        </w:tc>
        <w:tc>
          <w:tcPr>
            <w:tcW w:type="dxa" w:w="1234"/>
          </w:tcPr>
          <w:p>
            <w:r>
              <w:rPr>
                <w:rFonts w:ascii="Calibri" w:hAnsi="Calibri"/>
                <w:sz w:val="22"/>
              </w:rPr>
              <w:t>$318M</w:t>
            </w:r>
          </w:p>
        </w:tc>
        <w:tc>
          <w:tcPr>
            <w:tcW w:type="dxa" w:w="1234"/>
          </w:tcPr>
          <w:p>
            <w:r>
              <w:rPr>
                <w:rFonts w:ascii="Calibri" w:hAnsi="Calibri"/>
                <w:sz w:val="22"/>
              </w:rPr>
              <w:t>$340M</w:t>
            </w:r>
          </w:p>
        </w:tc>
        <w:tc>
          <w:tcPr>
            <w:tcW w:type="dxa" w:w="1234"/>
          </w:tcPr>
          <w:p>
            <w:r>
              <w:rPr>
                <w:rFonts w:ascii="Calibri" w:hAnsi="Calibri"/>
                <w:sz w:val="22"/>
              </w:rPr>
              <w:t>$355M</w:t>
            </w:r>
          </w:p>
        </w:tc>
        <w:tc>
          <w:tcPr>
            <w:tcW w:type="dxa" w:w="1234"/>
          </w:tcPr>
          <w:p>
            <w:r>
              <w:rPr>
                <w:rFonts w:ascii="Calibri" w:hAnsi="Calibri"/>
                <w:sz w:val="22"/>
              </w:rPr>
              <w:t>+4.4%</w:t>
            </w:r>
          </w:p>
        </w:tc>
        <w:tc>
          <w:tcPr>
            <w:tcW w:type="dxa" w:w="1234"/>
          </w:tcPr>
          <w:p>
            <w:r>
              <w:rPr>
                <w:rFonts w:ascii="Calibri" w:hAnsi="Calibri"/>
                <w:sz w:val="22"/>
              </w:rPr>
              <w:t>FY 2026 consensus ~$1.66B</w:t>
            </w:r>
          </w:p>
        </w:tc>
        <w:tc>
          <w:tcPr>
            <w:tcW w:type="dxa" w:w="1234"/>
          </w:tcPr>
          <w:p>
            <w:r>
              <w:rPr>
                <w:rFonts w:ascii="Calibri" w:hAnsi="Calibri"/>
                <w:sz w:val="22"/>
              </w:rPr>
              <w:t>N/A (no quarterly guidance)</w:t>
            </w:r>
          </w:p>
        </w:tc>
      </w:tr>
    </w:tbl>
    <w:p>
      <w:r>
        <w:rPr>
          <w:rFonts w:ascii="Calibri" w:hAnsi="Calibri"/>
          <w:i/>
          <w:color w:val="525866"/>
          <w:sz w:val="22"/>
        </w:rPr>
        <w:t>Source: Visible Alpha consensus and actuals data. All consensus figures as of August 5, 2026. Q1 2026 actuals from Aflac Q1 2026 earnings call (April 30, 2026). Japan benefit ratio guidance from Q1 2026 earnings call transcript.</w:t>
      </w:r>
    </w:p>
    <w:p>
      <w:pPr>
        <w:pStyle w:val="Heading3"/>
      </w:pPr>
      <w:r>
        <w:rPr>
          <w:rFonts w:ascii="Calibri" w:hAnsi="Calibri"/>
          <w:b/>
          <w:color w:val="3B4259"/>
          <w:sz w:val="24"/>
        </w:rPr>
        <w:t>Table 2 — Beat/Miss History: Last 8 Quarters (Top 2 KPIs: Adjusted EPS &amp; Japan Third-Sector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$1.75</w:t>
            </w:r>
          </w:p>
        </w:tc>
        <w:tc>
          <w:tcPr>
            <w:tcW w:type="dxa" w:w="1440"/>
          </w:tcPr>
          <w:p>
            <w:r>
              <w:rPr>
                <w:rFonts w:ascii="Calibri" w:hAnsi="Calibri"/>
                <w:sz w:val="22"/>
              </w:rPr>
              <w:t>$1.80</w:t>
            </w:r>
          </w:p>
        </w:tc>
        <w:tc>
          <w:tcPr>
            <w:tcW w:type="dxa" w:w="1440"/>
          </w:tcPr>
          <w:p>
            <w:r>
              <w:rPr>
                <w:rFonts w:ascii="Calibri" w:hAnsi="Calibri"/>
                <w:b/>
                <w:color w:val="E5484D"/>
                <w:sz w:val="22"/>
              </w:rPr>
              <w:t>-2.8%</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Japan 3rd-Sector Sales (¥B)</w:t>
            </w:r>
          </w:p>
        </w:tc>
        <w:tc>
          <w:tcPr>
            <w:tcW w:type="dxa" w:w="1440"/>
          </w:tcPr>
          <w:p>
            <w:r>
              <w:rPr>
                <w:rFonts w:ascii="Calibri" w:hAnsi="Calibri"/>
                <w:sz w:val="22"/>
              </w:rPr>
              <w:t>¥13.8B</w:t>
            </w:r>
          </w:p>
        </w:tc>
        <w:tc>
          <w:tcPr>
            <w:tcW w:type="dxa" w:w="1440"/>
          </w:tcPr>
          <w:p>
            <w:r>
              <w:rPr>
                <w:rFonts w:ascii="Calibri" w:hAnsi="Calibri"/>
                <w:sz w:val="22"/>
              </w:rPr>
              <w:t>¥12.9B</w:t>
            </w:r>
          </w:p>
        </w:tc>
        <w:tc>
          <w:tcPr>
            <w:tcW w:type="dxa" w:w="1440"/>
          </w:tcPr>
          <w:p>
            <w:r>
              <w:rPr>
                <w:rFonts w:ascii="Calibri" w:hAnsi="Calibri"/>
                <w:b/>
                <w:color w:val="30A46C"/>
                <w:sz w:val="22"/>
              </w:rPr>
              <w:t>+7.0%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$1.57</w:t>
            </w:r>
          </w:p>
        </w:tc>
        <w:tc>
          <w:tcPr>
            <w:tcW w:type="dxa" w:w="1440"/>
          </w:tcPr>
          <w:p>
            <w:r>
              <w:rPr>
                <w:rFonts w:ascii="Calibri" w:hAnsi="Calibri"/>
                <w:sz w:val="22"/>
              </w:rPr>
              <w:t>$1.69</w:t>
            </w:r>
          </w:p>
        </w:tc>
        <w:tc>
          <w:tcPr>
            <w:tcW w:type="dxa" w:w="1440"/>
          </w:tcPr>
          <w:p>
            <w:r>
              <w:rPr>
                <w:rFonts w:ascii="Calibri" w:hAnsi="Calibri"/>
                <w:b/>
                <w:color w:val="E5484D"/>
                <w:sz w:val="22"/>
              </w:rPr>
              <w:t>-7.1%</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Japan 3rd-Sector Sales (¥B)</w:t>
            </w:r>
          </w:p>
        </w:tc>
        <w:tc>
          <w:tcPr>
            <w:tcW w:type="dxa" w:w="1440"/>
          </w:tcPr>
          <w:p>
            <w:r>
              <w:rPr>
                <w:rFonts w:ascii="Calibri" w:hAnsi="Calibri"/>
                <w:sz w:val="22"/>
              </w:rPr>
              <w:t>¥15.1B</w:t>
            </w:r>
          </w:p>
        </w:tc>
        <w:tc>
          <w:tcPr>
            <w:tcW w:type="dxa" w:w="1440"/>
          </w:tcPr>
          <w:p>
            <w:r>
              <w:rPr>
                <w:rFonts w:ascii="Calibri" w:hAnsi="Calibri"/>
                <w:sz w:val="22"/>
              </w:rPr>
              <w:t>¥14.1B</w:t>
            </w:r>
          </w:p>
        </w:tc>
        <w:tc>
          <w:tcPr>
            <w:tcW w:type="dxa" w:w="1440"/>
          </w:tcPr>
          <w:p>
            <w:r>
              <w:rPr>
                <w:rFonts w:ascii="Calibri" w:hAnsi="Calibri"/>
                <w:b/>
                <w:color w:val="30A46C"/>
                <w:sz w:val="22"/>
              </w:rPr>
              <w:t>+7.1%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$2.49</w:t>
            </w:r>
          </w:p>
        </w:tc>
        <w:tc>
          <w:tcPr>
            <w:tcW w:type="dxa" w:w="1440"/>
          </w:tcPr>
          <w:p>
            <w:r>
              <w:rPr>
                <w:rFonts w:ascii="Calibri" w:hAnsi="Calibri"/>
                <w:sz w:val="22"/>
              </w:rPr>
              <w:t>$1.76</w:t>
            </w:r>
          </w:p>
        </w:tc>
        <w:tc>
          <w:tcPr>
            <w:tcW w:type="dxa" w:w="1440"/>
          </w:tcPr>
          <w:p>
            <w:r>
              <w:rPr>
                <w:rFonts w:ascii="Calibri" w:hAnsi="Calibri"/>
                <w:b/>
                <w:color w:val="30A46C"/>
                <w:sz w:val="22"/>
              </w:rPr>
              <w:t>+41.5%</w:t>
            </w:r>
          </w:p>
        </w:tc>
        <w:tc>
          <w:tcPr>
            <w:tcW w:type="dxa" w:w="1440"/>
          </w:tcPr>
          <w:p>
            <w:r>
              <w:rPr>
                <w:rFonts w:ascii="Calibri" w:hAnsi="Calibri"/>
                <w:sz w:val="22"/>
              </w:rPr>
              <w:t>Large Beat (assumption unlock)</w:t>
            </w:r>
          </w:p>
        </w:tc>
      </w:tr>
      <w:tr>
        <w:tc>
          <w:tcPr>
            <w:tcW w:type="dxa" w:w="1440"/>
          </w:tcPr>
          <w:p>
            <w:r>
              <w:rPr>
                <w:rFonts w:ascii="Calibri" w:hAnsi="Calibri"/>
                <w:sz w:val="22"/>
              </w:rPr>
              <w:t>Q3 2025</w:t>
            </w:r>
          </w:p>
        </w:tc>
        <w:tc>
          <w:tcPr>
            <w:tcW w:type="dxa" w:w="1440"/>
          </w:tcPr>
          <w:p>
            <w:r>
              <w:rPr>
                <w:rFonts w:ascii="Calibri" w:hAnsi="Calibri"/>
                <w:sz w:val="22"/>
              </w:rPr>
              <w:t>Japan 3rd-Sector Sales (¥B)</w:t>
            </w:r>
          </w:p>
        </w:tc>
        <w:tc>
          <w:tcPr>
            <w:tcW w:type="dxa" w:w="1440"/>
          </w:tcPr>
          <w:p>
            <w:r>
              <w:rPr>
                <w:rFonts w:ascii="Calibri" w:hAnsi="Calibri"/>
                <w:sz w:val="22"/>
              </w:rPr>
              <w:t>¥15.9B</w:t>
            </w:r>
          </w:p>
        </w:tc>
        <w:tc>
          <w:tcPr>
            <w:tcW w:type="dxa" w:w="1440"/>
          </w:tcPr>
          <w:p>
            <w:r>
              <w:rPr>
                <w:rFonts w:ascii="Calibri" w:hAnsi="Calibri"/>
                <w:sz w:val="22"/>
              </w:rPr>
              <w:t>¥14.3B</w:t>
            </w:r>
          </w:p>
        </w:tc>
        <w:tc>
          <w:tcPr>
            <w:tcW w:type="dxa" w:w="1440"/>
          </w:tcPr>
          <w:p>
            <w:r>
              <w:rPr>
                <w:rFonts w:ascii="Calibri" w:hAnsi="Calibri"/>
                <w:b/>
                <w:color w:val="30A46C"/>
                <w:sz w:val="22"/>
              </w:rPr>
              <w:t>+11.2%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$1.78</w:t>
            </w:r>
          </w:p>
        </w:tc>
        <w:tc>
          <w:tcPr>
            <w:tcW w:type="dxa" w:w="1440"/>
          </w:tcPr>
          <w:p>
            <w:r>
              <w:rPr>
                <w:rFonts w:ascii="Calibri" w:hAnsi="Calibri"/>
                <w:sz w:val="22"/>
              </w:rPr>
              <w:t>$1.70</w:t>
            </w:r>
          </w:p>
        </w:tc>
        <w:tc>
          <w:tcPr>
            <w:tcW w:type="dxa" w:w="1440"/>
          </w:tcPr>
          <w:p>
            <w:r>
              <w:rPr>
                <w:rFonts w:ascii="Calibri" w:hAnsi="Calibri"/>
                <w:b/>
                <w:color w:val="30A46C"/>
                <w:sz w:val="22"/>
              </w:rPr>
              <w:t>+4.7%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Japan 3rd-Sector Sales (¥B)</w:t>
            </w:r>
          </w:p>
        </w:tc>
        <w:tc>
          <w:tcPr>
            <w:tcW w:type="dxa" w:w="1440"/>
          </w:tcPr>
          <w:p>
            <w:r>
              <w:rPr>
                <w:rFonts w:ascii="Calibri" w:hAnsi="Calibri"/>
                <w:sz w:val="22"/>
              </w:rPr>
              <w:t>¥17.5B</w:t>
            </w:r>
          </w:p>
        </w:tc>
        <w:tc>
          <w:tcPr>
            <w:tcW w:type="dxa" w:w="1440"/>
          </w:tcPr>
          <w:p>
            <w:r>
              <w:rPr>
                <w:rFonts w:ascii="Calibri" w:hAnsi="Calibri"/>
                <w:sz w:val="22"/>
              </w:rPr>
              <w:t>¥13.5B</w:t>
            </w:r>
          </w:p>
        </w:tc>
        <w:tc>
          <w:tcPr>
            <w:tcW w:type="dxa" w:w="1440"/>
          </w:tcPr>
          <w:p>
            <w:r>
              <w:rPr>
                <w:rFonts w:ascii="Calibri" w:hAnsi="Calibri"/>
                <w:b/>
                <w:color w:val="30A46C"/>
                <w:sz w:val="22"/>
              </w:rPr>
              <w:t>+29.6%</w:t>
            </w:r>
          </w:p>
        </w:tc>
        <w:tc>
          <w:tcPr>
            <w:tcW w:type="dxa" w:w="1440"/>
          </w:tcPr>
          <w:p>
            <w:r>
              <w:rPr>
                <w:rFonts w:ascii="Calibri" w:hAnsi="Calibri"/>
                <w:sz w:val="22"/>
              </w:rPr>
              <w:t>Large 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$1.66</w:t>
            </w:r>
          </w:p>
        </w:tc>
        <w:tc>
          <w:tcPr>
            <w:tcW w:type="dxa" w:w="1440"/>
          </w:tcPr>
          <w:p>
            <w:r>
              <w:rPr>
                <w:rFonts w:ascii="Calibri" w:hAnsi="Calibri"/>
                <w:sz w:val="22"/>
              </w:rPr>
              <w:t>$1.66</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Q1 2025</w:t>
            </w:r>
          </w:p>
        </w:tc>
        <w:tc>
          <w:tcPr>
            <w:tcW w:type="dxa" w:w="1440"/>
          </w:tcPr>
          <w:p>
            <w:r>
              <w:rPr>
                <w:rFonts w:ascii="Calibri" w:hAnsi="Calibri"/>
                <w:sz w:val="22"/>
              </w:rPr>
              <w:t>Japan 3rd-Sector Sales (¥B)</w:t>
            </w:r>
          </w:p>
        </w:tc>
        <w:tc>
          <w:tcPr>
            <w:tcW w:type="dxa" w:w="1440"/>
          </w:tcPr>
          <w:p>
            <w:r>
              <w:rPr>
                <w:rFonts w:ascii="Calibri" w:hAnsi="Calibri"/>
                <w:sz w:val="22"/>
              </w:rPr>
              <w:t>¥10.7B</w:t>
            </w:r>
          </w:p>
        </w:tc>
        <w:tc>
          <w:tcPr>
            <w:tcW w:type="dxa" w:w="1440"/>
          </w:tcPr>
          <w:p>
            <w:r>
              <w:rPr>
                <w:rFonts w:ascii="Calibri" w:hAnsi="Calibri"/>
                <w:sz w:val="22"/>
              </w:rPr>
              <w:t>¥11.0B</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$1.56</w:t>
            </w:r>
          </w:p>
        </w:tc>
        <w:tc>
          <w:tcPr>
            <w:tcW w:type="dxa" w:w="1440"/>
          </w:tcPr>
          <w:p>
            <w:r>
              <w:rPr>
                <w:rFonts w:ascii="Calibri" w:hAnsi="Calibri"/>
                <w:sz w:val="22"/>
              </w:rPr>
              <w:t>$1.62</w:t>
            </w:r>
          </w:p>
        </w:tc>
        <w:tc>
          <w:tcPr>
            <w:tcW w:type="dxa" w:w="1440"/>
          </w:tcPr>
          <w:p>
            <w:r>
              <w:rPr>
                <w:rFonts w:ascii="Calibri" w:hAnsi="Calibri"/>
                <w:b/>
                <w:color w:val="E5484D"/>
                <w:sz w:val="22"/>
              </w:rPr>
              <w:t>-3.7%</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Japan 3rd-Sector Sales (¥B)</w:t>
            </w:r>
          </w:p>
        </w:tc>
        <w:tc>
          <w:tcPr>
            <w:tcW w:type="dxa" w:w="1440"/>
          </w:tcPr>
          <w:p>
            <w:r>
              <w:rPr>
                <w:rFonts w:ascii="Calibri" w:hAnsi="Calibri"/>
                <w:sz w:val="22"/>
              </w:rPr>
              <w:t>¥12.2B</w:t>
            </w:r>
          </w:p>
        </w:tc>
        <w:tc>
          <w:tcPr>
            <w:tcW w:type="dxa" w:w="1440"/>
          </w:tcPr>
          <w:p>
            <w:r>
              <w:rPr>
                <w:rFonts w:ascii="Calibri" w:hAnsi="Calibri"/>
                <w:sz w:val="22"/>
              </w:rPr>
              <w:t>¥13.1B</w:t>
            </w:r>
          </w:p>
        </w:tc>
        <w:tc>
          <w:tcPr>
            <w:tcW w:type="dxa" w:w="1440"/>
          </w:tcPr>
          <w:p>
            <w:r>
              <w:rPr>
                <w:rFonts w:ascii="Calibri" w:hAnsi="Calibri"/>
                <w:b/>
                <w:color w:val="E5484D"/>
                <w:sz w:val="22"/>
              </w:rPr>
              <w:t>-6.5%</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$2.16</w:t>
            </w:r>
          </w:p>
        </w:tc>
        <w:tc>
          <w:tcPr>
            <w:tcW w:type="dxa" w:w="1440"/>
          </w:tcPr>
          <w:p>
            <w:r>
              <w:rPr>
                <w:rFonts w:ascii="Calibri" w:hAnsi="Calibri"/>
                <w:sz w:val="22"/>
              </w:rPr>
              <w:t>$1.69</w:t>
            </w:r>
          </w:p>
        </w:tc>
        <w:tc>
          <w:tcPr>
            <w:tcW w:type="dxa" w:w="1440"/>
          </w:tcPr>
          <w:p>
            <w:r>
              <w:rPr>
                <w:rFonts w:ascii="Calibri" w:hAnsi="Calibri"/>
                <w:b/>
                <w:color w:val="30A46C"/>
                <w:sz w:val="22"/>
              </w:rPr>
              <w:t>+27.8%</w:t>
            </w:r>
          </w:p>
        </w:tc>
        <w:tc>
          <w:tcPr>
            <w:tcW w:type="dxa" w:w="1440"/>
          </w:tcPr>
          <w:p>
            <w:r>
              <w:rPr>
                <w:rFonts w:ascii="Calibri" w:hAnsi="Calibri"/>
                <w:sz w:val="22"/>
              </w:rPr>
              <w:t>Large Beat (assumption unlock)</w:t>
            </w:r>
          </w:p>
        </w:tc>
      </w:tr>
      <w:tr>
        <w:tc>
          <w:tcPr>
            <w:tcW w:type="dxa" w:w="1440"/>
          </w:tcPr>
          <w:p>
            <w:r>
              <w:rPr>
                <w:rFonts w:ascii="Calibri" w:hAnsi="Calibri"/>
                <w:sz w:val="22"/>
              </w:rPr>
              <w:t>Q3 2024</w:t>
            </w:r>
          </w:p>
        </w:tc>
        <w:tc>
          <w:tcPr>
            <w:tcW w:type="dxa" w:w="1440"/>
          </w:tcPr>
          <w:p>
            <w:r>
              <w:rPr>
                <w:rFonts w:ascii="Calibri" w:hAnsi="Calibri"/>
                <w:sz w:val="22"/>
              </w:rPr>
              <w:t>Japan 3rd-Sector Sales (¥B)</w:t>
            </w:r>
          </w:p>
        </w:tc>
        <w:tc>
          <w:tcPr>
            <w:tcW w:type="dxa" w:w="1440"/>
          </w:tcPr>
          <w:p>
            <w:r>
              <w:rPr>
                <w:rFonts w:ascii="Calibri" w:hAnsi="Calibri"/>
                <w:sz w:val="22"/>
              </w:rPr>
              <w:t>¥11.9B</w:t>
            </w:r>
          </w:p>
        </w:tc>
        <w:tc>
          <w:tcPr>
            <w:tcW w:type="dxa" w:w="1440"/>
          </w:tcPr>
          <w:p>
            <w:r>
              <w:rPr>
                <w:rFonts w:ascii="Calibri" w:hAnsi="Calibri"/>
                <w:sz w:val="22"/>
              </w:rPr>
              <w:t>¥13.9B</w:t>
            </w:r>
          </w:p>
        </w:tc>
        <w:tc>
          <w:tcPr>
            <w:tcW w:type="dxa" w:w="1440"/>
          </w:tcPr>
          <w:p>
            <w:r>
              <w:rPr>
                <w:rFonts w:ascii="Calibri" w:hAnsi="Calibri"/>
                <w:b/>
                <w:color w:val="E5484D"/>
                <w:sz w:val="22"/>
              </w:rPr>
              <w:t>-14.2%</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$1.83</w:t>
            </w:r>
          </w:p>
        </w:tc>
        <w:tc>
          <w:tcPr>
            <w:tcW w:type="dxa" w:w="1440"/>
          </w:tcPr>
          <w:p>
            <w:r>
              <w:rPr>
                <w:rFonts w:ascii="Calibri" w:hAnsi="Calibri"/>
                <w:sz w:val="22"/>
              </w:rPr>
              <w:t>$1.60</w:t>
            </w:r>
          </w:p>
        </w:tc>
        <w:tc>
          <w:tcPr>
            <w:tcW w:type="dxa" w:w="1440"/>
          </w:tcPr>
          <w:p>
            <w:r>
              <w:rPr>
                <w:rFonts w:ascii="Calibri" w:hAnsi="Calibri"/>
                <w:b/>
                <w:color w:val="30A46C"/>
                <w:sz w:val="22"/>
              </w:rPr>
              <w:t>+14.4%</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Japan 3rd-Sector Sales (¥B)</w:t>
            </w:r>
          </w:p>
        </w:tc>
        <w:tc>
          <w:tcPr>
            <w:tcW w:type="dxa" w:w="1440"/>
          </w:tcPr>
          <w:p>
            <w:r>
              <w:rPr>
                <w:rFonts w:ascii="Calibri" w:hAnsi="Calibri"/>
                <w:sz w:val="22"/>
              </w:rPr>
              <w:t>¥12.7B</w:t>
            </w:r>
          </w:p>
        </w:tc>
        <w:tc>
          <w:tcPr>
            <w:tcW w:type="dxa" w:w="1440"/>
          </w:tcPr>
          <w:p>
            <w:r>
              <w:rPr>
                <w:rFonts w:ascii="Calibri" w:hAnsi="Calibri"/>
                <w:sz w:val="22"/>
              </w:rPr>
              <w:t>¥14.1B</w:t>
            </w:r>
          </w:p>
        </w:tc>
        <w:tc>
          <w:tcPr>
            <w:tcW w:type="dxa" w:w="1440"/>
          </w:tcPr>
          <w:p>
            <w:r>
              <w:rPr>
                <w:rFonts w:ascii="Calibri" w:hAnsi="Calibri"/>
                <w:b/>
                <w:color w:val="E5484D"/>
                <w:sz w:val="22"/>
              </w:rPr>
              <w:t>-9.8%</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Adjusted EPS has been highly volatile due to reserve remeasurement gains in Q3 of each year (assumption unlock quarters), making the underlying trend hard to read. Excluding those one-time quarters, EPS has missed consensus in 3 of the last 6 non-unlock quarters. Japan third-sector sales have been a consistent positive surprise since Q2 2025 (Miraito launch), beating in 4 of the last 5 quarters — this is the KPI most likely to drive a positive reaction on the print.</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is unchanged since Q1 earnings — no formal revisions have been issued — but CEO Dan Amos informally raised the Japan sales bar to ~¥80B (vs. the official ¥74B baseline), and the Corporate &amp; Other segment was explicitly guided to be slightly negative in Q2, a meaningful headwind vs. prior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Japan Benefit Ratio (FY 2026)</w:t>
            </w:r>
          </w:p>
        </w:tc>
        <w:tc>
          <w:tcPr>
            <w:tcW w:type="dxa" w:w="1728"/>
          </w:tcPr>
          <w:p>
            <w:r>
              <w:rPr>
                <w:rFonts w:ascii="Calibri" w:hAnsi="Calibri"/>
                <w:sz w:val="22"/>
              </w:rPr>
              <w:t>60%–63%</w:t>
            </w:r>
          </w:p>
        </w:tc>
        <w:tc>
          <w:tcPr>
            <w:tcW w:type="dxa" w:w="1728"/>
          </w:tcPr>
          <w:p>
            <w:r>
              <w:rPr>
                <w:rFonts w:ascii="Calibri" w:hAnsi="Calibri"/>
                <w:sz w:val="22"/>
              </w:rPr>
              <w:t>—</w:t>
            </w:r>
          </w:p>
        </w:tc>
        <w:tc>
          <w:tcPr>
            <w:tcW w:type="dxa" w:w="1728"/>
          </w:tcPr>
          <w:p>
            <w:r>
              <w:rPr>
                <w:rFonts w:ascii="Calibri" w:hAnsi="Calibri"/>
                <w:sz w:val="22"/>
              </w:rPr>
              <w:t>~62.1% (FY 2026 consensus)</w:t>
            </w:r>
          </w:p>
        </w:tc>
        <w:tc>
          <w:tcPr>
            <w:tcW w:type="dxa" w:w="1728"/>
          </w:tcPr>
          <w:p>
            <w:r>
              <w:rPr>
                <w:rFonts w:ascii="Calibri" w:hAnsi="Calibri"/>
                <w:sz w:val="22"/>
              </w:rPr>
              <w:t>Unchanged; management "very confident" in range; Q1 came in at 62.9%, within range</w:t>
            </w:r>
          </w:p>
        </w:tc>
      </w:tr>
      <w:tr>
        <w:tc>
          <w:tcPr>
            <w:tcW w:type="dxa" w:w="1728"/>
          </w:tcPr>
          <w:p>
            <w:r>
              <w:rPr>
                <w:rFonts w:ascii="Calibri" w:hAnsi="Calibri"/>
                <w:sz w:val="22"/>
              </w:rPr>
              <w:t>U.S. Benefit Ratio (FY 2026)</w:t>
            </w:r>
          </w:p>
        </w:tc>
        <w:tc>
          <w:tcPr>
            <w:tcW w:type="dxa" w:w="1728"/>
          </w:tcPr>
          <w:p>
            <w:r>
              <w:rPr>
                <w:rFonts w:ascii="Calibri" w:hAnsi="Calibri"/>
                <w:sz w:val="22"/>
              </w:rPr>
              <w:t>48%–52%</w:t>
            </w:r>
          </w:p>
        </w:tc>
        <w:tc>
          <w:tcPr>
            <w:tcW w:type="dxa" w:w="1728"/>
          </w:tcPr>
          <w:p>
            <w:r>
              <w:rPr>
                <w:rFonts w:ascii="Calibri" w:hAnsi="Calibri"/>
                <w:sz w:val="22"/>
              </w:rPr>
              <w:t>—</w:t>
            </w:r>
          </w:p>
        </w:tc>
        <w:tc>
          <w:tcPr>
            <w:tcW w:type="dxa" w:w="1728"/>
          </w:tcPr>
          <w:p>
            <w:r>
              <w:rPr>
                <w:rFonts w:ascii="Calibri" w:hAnsi="Calibri"/>
                <w:sz w:val="22"/>
              </w:rPr>
              <w:t>~48.4% (FY 2026 consensus)</w:t>
            </w:r>
          </w:p>
        </w:tc>
        <w:tc>
          <w:tcPr>
            <w:tcW w:type="dxa" w:w="1728"/>
          </w:tcPr>
          <w:p>
            <w:r>
              <w:rPr>
                <w:rFonts w:ascii="Calibri" w:hAnsi="Calibri"/>
                <w:sz w:val="22"/>
              </w:rPr>
              <w:t>Unchanged; Q1 underlying benefit ratio was "spot on 48%" per CFO; at low end of range</w:t>
            </w:r>
          </w:p>
        </w:tc>
      </w:tr>
      <w:tr>
        <w:tc>
          <w:tcPr>
            <w:tcW w:type="dxa" w:w="1728"/>
          </w:tcPr>
          <w:p>
            <w:r>
              <w:rPr>
                <w:rFonts w:ascii="Calibri" w:hAnsi="Calibri"/>
                <w:sz w:val="22"/>
              </w:rPr>
              <w:t>Japan Full-Year Sales</w:t>
            </w:r>
          </w:p>
        </w:tc>
        <w:tc>
          <w:tcPr>
            <w:tcW w:type="dxa" w:w="1728"/>
          </w:tcPr>
          <w:p>
            <w:r>
              <w:rPr>
                <w:rFonts w:ascii="Calibri" w:hAnsi="Calibri"/>
                <w:sz w:val="22"/>
              </w:rPr>
              <w:t>~¥74B (official baseline, equivalent to 2025)</w:t>
            </w:r>
          </w:p>
        </w:tc>
        <w:tc>
          <w:tcPr>
            <w:tcW w:type="dxa" w:w="1728"/>
          </w:tcPr>
          <w:p>
            <w:r>
              <w:rPr>
                <w:rFonts w:ascii="Calibri" w:hAnsi="Calibri"/>
                <w:sz w:val="22"/>
              </w:rPr>
              <w:t>—</w:t>
            </w:r>
          </w:p>
        </w:tc>
        <w:tc>
          <w:tcPr>
            <w:tcW w:type="dxa" w:w="1728"/>
          </w:tcPr>
          <w:p>
            <w:r>
              <w:rPr>
                <w:rFonts w:ascii="Calibri" w:hAnsi="Calibri"/>
                <w:sz w:val="22"/>
              </w:rPr>
              <w:t>~¥79.0B (FY 2026 consensus)</w:t>
            </w:r>
          </w:p>
        </w:tc>
        <w:tc>
          <w:tcPr>
            <w:tcW w:type="dxa" w:w="1728"/>
          </w:tcPr>
          <w:p>
            <w:r>
              <w:rPr>
                <w:rFonts w:ascii="Calibri" w:hAnsi="Calibri"/>
                <w:sz w:val="22"/>
              </w:rPr>
              <w:t>CEO Dan Amos informally guided "closer to ¥80 billion" on Q1 call; consensus tracking toward that level but not fully there</w:t>
            </w:r>
          </w:p>
        </w:tc>
      </w:tr>
      <w:tr>
        <w:tc>
          <w:tcPr>
            <w:tcW w:type="dxa" w:w="1728"/>
          </w:tcPr>
          <w:p>
            <w:r>
              <w:rPr>
                <w:rFonts w:ascii="Calibri" w:hAnsi="Calibri"/>
                <w:sz w:val="22"/>
              </w:rPr>
              <w:t>Corporate &amp; Other Segment (Q2 2026)</w:t>
            </w:r>
          </w:p>
        </w:tc>
        <w:tc>
          <w:tcPr>
            <w:tcW w:type="dxa" w:w="1728"/>
          </w:tcPr>
          <w:p>
            <w:r>
              <w:rPr>
                <w:rFonts w:ascii="Calibri" w:hAnsi="Calibri"/>
                <w:sz w:val="22"/>
              </w:rPr>
              <w:t>"Slightly negative" pretax earnings</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Explicit Q2 guidance from CFO on Q1 call; headwind vs. $43M gain in Q1 2025 and breakeven in Q1 2026</w:t>
            </w:r>
          </w:p>
        </w:tc>
      </w:tr>
      <w:tr>
        <w:tc>
          <w:tcPr>
            <w:tcW w:type="dxa" w:w="1728"/>
          </w:tcPr>
          <w:p>
            <w:r>
              <w:rPr>
                <w:rFonts w:ascii="Calibri" w:hAnsi="Calibri"/>
                <w:sz w:val="22"/>
              </w:rPr>
              <w:t>Japan Underlying Earned Premium Growth (FY 2026)</w:t>
            </w:r>
          </w:p>
        </w:tc>
        <w:tc>
          <w:tcPr>
            <w:tcW w:type="dxa" w:w="1728"/>
          </w:tcPr>
          <w:p>
            <w:r>
              <w:rPr>
                <w:rFonts w:ascii="Calibri" w:hAnsi="Calibri"/>
                <w:sz w:val="22"/>
              </w:rPr>
              <w:t>-1% to -2% (underlying, excl. reinsurance/paid-up)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~¥90B annual sales needed for flat earned premium; current trajectory still short of inflection</w:t>
            </w:r>
          </w:p>
        </w:tc>
      </w:tr>
      <w:tr>
        <w:tc>
          <w:tcPr>
            <w:tcW w:type="dxa" w:w="1728"/>
          </w:tcPr>
          <w:p>
            <w:r>
              <w:rPr>
                <w:rFonts w:ascii="Calibri" w:hAnsi="Calibri"/>
                <w:sz w:val="22"/>
              </w:rPr>
              <w:t>Capital Returns / Share Repurchases</w:t>
            </w:r>
          </w:p>
        </w:tc>
        <w:tc>
          <w:tcPr>
            <w:tcW w:type="dxa" w:w="1728"/>
          </w:tcPr>
          <w:p>
            <w:r>
              <w:rPr>
                <w:rFonts w:ascii="Calibri" w:hAnsi="Calibri"/>
                <w:sz w:val="22"/>
              </w:rPr>
              <w:t>$1B+ buybacks per quarter; 43-year dividend increase streak to continue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Q1 returned $1.3B ($1B buyback + $315M dividends); external reinsurance strategy described as additive, not a substitute for shareholder returns</w:t>
            </w:r>
          </w:p>
        </w:tc>
      </w:tr>
      <w:tr>
        <w:tc>
          <w:tcPr>
            <w:tcW w:type="dxa" w:w="1728"/>
          </w:tcPr>
          <w:p>
            <w:r>
              <w:rPr>
                <w:rFonts w:ascii="Calibri" w:hAnsi="Calibri"/>
                <w:sz w:val="22"/>
              </w:rPr>
              <w:t>Adjusted Leverage Ratio</w:t>
            </w:r>
          </w:p>
        </w:tc>
        <w:tc>
          <w:tcPr>
            <w:tcW w:type="dxa" w:w="1728"/>
          </w:tcPr>
          <w:p>
            <w:r>
              <w:rPr>
                <w:rFonts w:ascii="Calibri" w:hAnsi="Calibri"/>
                <w:sz w:val="22"/>
              </w:rPr>
              <w:t>Target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Q1 2026 at 21.2%; $500M senior notes issued May 14, 2026 (10-year, due 2036) — leverage may tick up modestly in Q2</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adjusted EPS have drifted ~1.6% lower since the Q1 print (from $1.79 to $1.77), while FY 2026 estimates are down ~0.9% — a modest but consistent downward drift that reflects the Corporate &amp; Other headwind and Japan reinsurance drag. The gap between consensus and management's informal ¥80B Japan sales target represents the key upside lever.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5,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$1.795</w:t>
            </w:r>
          </w:p>
        </w:tc>
        <w:tc>
          <w:tcPr>
            <w:tcW w:type="dxa" w:w="1080"/>
          </w:tcPr>
          <w:p>
            <w:r>
              <w:rPr>
                <w:rFonts w:ascii="Calibri" w:hAnsi="Calibri"/>
                <w:sz w:val="22"/>
              </w:rPr>
              <w:t>$1.765</w:t>
            </w:r>
          </w:p>
        </w:tc>
        <w:tc>
          <w:tcPr>
            <w:tcW w:type="dxa" w:w="1080"/>
          </w:tcPr>
          <w:p>
            <w:r>
              <w:rPr>
                <w:rFonts w:ascii="Calibri" w:hAnsi="Calibri"/>
                <w:b/>
                <w:color w:val="E5484D"/>
                <w:sz w:val="22"/>
              </w:rPr>
              <w:t>-1.6%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$7.105</w:t>
            </w:r>
          </w:p>
        </w:tc>
        <w:tc>
          <w:tcPr>
            <w:tcW w:type="dxa" w:w="1080"/>
          </w:tcPr>
          <w:p>
            <w:r>
              <w:rPr>
                <w:rFonts w:ascii="Calibri" w:hAnsi="Calibri"/>
                <w:sz w:val="22"/>
              </w:rPr>
              <w:t>$7.042</w:t>
            </w:r>
          </w:p>
        </w:tc>
        <w:tc>
          <w:tcPr>
            <w:tcW w:type="dxa" w:w="1080"/>
          </w:tcPr>
          <w:p>
            <w:r>
              <w:rPr>
                <w:rFonts w:ascii="Calibri" w:hAnsi="Calibri"/>
                <w:b/>
                <w:color w:val="E5484D"/>
                <w:sz w:val="22"/>
              </w:rPr>
              <w:t>-0.9%</w:t>
            </w:r>
          </w:p>
        </w:tc>
        <w:tc>
          <w:tcPr>
            <w:tcW w:type="dxa" w:w="1080"/>
          </w:tcPr>
          <w:p>
            <w:r>
              <w:rPr>
                <w:rFonts w:ascii="Calibri" w:hAnsi="Calibri"/>
                <w:sz w:val="22"/>
              </w:rPr>
              <w:t>No explicit FY EPS guidance</w:t>
            </w:r>
          </w:p>
        </w:tc>
        <w:tc>
          <w:tcPr>
            <w:tcW w:type="dxa" w:w="1080"/>
          </w:tcPr>
          <w:p>
            <w:r>
              <w:rPr>
                <w:rFonts w:ascii="Calibri" w:hAnsi="Calibri"/>
                <w:sz w:val="22"/>
              </w:rPr>
              <w:t>No explicit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Premium Income — Q2 2026</w:t>
            </w:r>
          </w:p>
        </w:tc>
        <w:tc>
          <w:tcPr>
            <w:tcW w:type="dxa" w:w="1080"/>
          </w:tcPr>
          <w:p>
            <w:r>
              <w:rPr>
                <w:rFonts w:ascii="Calibri" w:hAnsi="Calibri"/>
                <w:sz w:val="22"/>
              </w:rPr>
              <w:t>$3.291B</w:t>
            </w:r>
          </w:p>
        </w:tc>
        <w:tc>
          <w:tcPr>
            <w:tcW w:type="dxa" w:w="1080"/>
          </w:tcPr>
          <w:p>
            <w:r>
              <w:rPr>
                <w:rFonts w:ascii="Calibri" w:hAnsi="Calibri"/>
                <w:sz w:val="22"/>
              </w:rPr>
              <w:t>$3.290B</w:t>
            </w:r>
          </w:p>
        </w:tc>
        <w:tc>
          <w:tcPr>
            <w:tcW w:type="dxa" w:w="1080"/>
          </w:tcPr>
          <w:p>
            <w:r>
              <w:rPr>
                <w:rFonts w:ascii="Calibri" w:hAnsi="Calibri"/>
                <w:sz w:val="22"/>
              </w:rPr>
              <w:t>-0.0%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Premium Income — FY 2026</w:t>
            </w:r>
          </w:p>
        </w:tc>
        <w:tc>
          <w:tcPr>
            <w:tcW w:type="dxa" w:w="1080"/>
          </w:tcPr>
          <w:p>
            <w:r>
              <w:rPr>
                <w:rFonts w:ascii="Calibri" w:hAnsi="Calibri"/>
                <w:sz w:val="22"/>
              </w:rPr>
              <w:t>$13.165B</w:t>
            </w:r>
          </w:p>
        </w:tc>
        <w:tc>
          <w:tcPr>
            <w:tcW w:type="dxa" w:w="1080"/>
          </w:tcPr>
          <w:p>
            <w:r>
              <w:rPr>
                <w:rFonts w:ascii="Calibri" w:hAnsi="Calibri"/>
                <w:sz w:val="22"/>
              </w:rPr>
              <w:t>$13.134B</w:t>
            </w:r>
          </w:p>
        </w:tc>
        <w:tc>
          <w:tcPr>
            <w:tcW w:type="dxa" w:w="1080"/>
          </w:tcPr>
          <w:p>
            <w:r>
              <w:rPr>
                <w:rFonts w:ascii="Calibri" w:hAnsi="Calibri"/>
                <w:sz w:val="22"/>
              </w:rPr>
              <w:t>-0.2%</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Japan 3rd-Sector Sales — Q2 2026 (¥B)</w:t>
            </w:r>
          </w:p>
        </w:tc>
        <w:tc>
          <w:tcPr>
            <w:tcW w:type="dxa" w:w="1080"/>
          </w:tcPr>
          <w:p>
            <w:r>
              <w:rPr>
                <w:rFonts w:ascii="Calibri" w:hAnsi="Calibri"/>
                <w:sz w:val="22"/>
              </w:rPr>
              <w:t>¥17.70B</w:t>
            </w:r>
          </w:p>
        </w:tc>
        <w:tc>
          <w:tcPr>
            <w:tcW w:type="dxa" w:w="1080"/>
          </w:tcPr>
          <w:p>
            <w:r>
              <w:rPr>
                <w:rFonts w:ascii="Calibri" w:hAnsi="Calibri"/>
                <w:sz w:val="22"/>
              </w:rPr>
              <w:t>¥17.98B</w:t>
            </w:r>
          </w:p>
        </w:tc>
        <w:tc>
          <w:tcPr>
            <w:tcW w:type="dxa" w:w="1080"/>
          </w:tcPr>
          <w:p>
            <w:r>
              <w:rPr>
                <w:rFonts w:ascii="Calibri" w:hAnsi="Calibri"/>
                <w:b/>
                <w:color w:val="30A46C"/>
                <w:sz w:val="22"/>
              </w:rPr>
              <w:t>+1.6%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Japan Total New Premiums — FY 2026 (¥B)</w:t>
            </w:r>
          </w:p>
        </w:tc>
        <w:tc>
          <w:tcPr>
            <w:tcW w:type="dxa" w:w="1080"/>
          </w:tcPr>
          <w:p>
            <w:r>
              <w:rPr>
                <w:rFonts w:ascii="Calibri" w:hAnsi="Calibri"/>
                <w:sz w:val="22"/>
              </w:rPr>
              <w:t>¥78.82B</w:t>
            </w:r>
          </w:p>
        </w:tc>
        <w:tc>
          <w:tcPr>
            <w:tcW w:type="dxa" w:w="1080"/>
          </w:tcPr>
          <w:p>
            <w:r>
              <w:rPr>
                <w:rFonts w:ascii="Calibri" w:hAnsi="Calibri"/>
                <w:sz w:val="22"/>
              </w:rPr>
              <w:t>¥79.00B</w:t>
            </w:r>
          </w:p>
        </w:tc>
        <w:tc>
          <w:tcPr>
            <w:tcW w:type="dxa" w:w="1080"/>
          </w:tcPr>
          <w:p>
            <w:r>
              <w:rPr>
                <w:rFonts w:ascii="Calibri" w:hAnsi="Calibri"/>
                <w:sz w:val="22"/>
              </w:rPr>
              <w:t>+0.2%</w:t>
            </w:r>
          </w:p>
        </w:tc>
        <w:tc>
          <w:tcPr>
            <w:tcW w:type="dxa" w:w="1080"/>
          </w:tcPr>
          <w:p>
            <w:r>
              <w:rPr>
                <w:rFonts w:ascii="Calibri" w:hAnsi="Calibri"/>
                <w:sz w:val="22"/>
              </w:rPr>
              <w:t>~¥74B (official); CEO target ~¥80B</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¥79.0B vs. CEO target ¥80B (-1.2%)</w:t>
            </w:r>
          </w:p>
        </w:tc>
      </w:tr>
      <w:tr>
        <w:tc>
          <w:tcPr>
            <w:tcW w:type="dxa" w:w="1080"/>
          </w:tcPr>
          <w:p>
            <w:r>
              <w:rPr>
                <w:rFonts w:ascii="Calibri" w:hAnsi="Calibri"/>
                <w:sz w:val="22"/>
              </w:rPr>
              <w:t>Japan Benefit Ratio — FY 2026 (%)</w:t>
            </w:r>
          </w:p>
        </w:tc>
        <w:tc>
          <w:tcPr>
            <w:tcW w:type="dxa" w:w="1080"/>
          </w:tcPr>
          <w:p>
            <w:r>
              <w:rPr>
                <w:rFonts w:ascii="Calibri" w:hAnsi="Calibri"/>
                <w:sz w:val="22"/>
              </w:rPr>
              <w:t>~62.1%</w:t>
            </w:r>
          </w:p>
        </w:tc>
        <w:tc>
          <w:tcPr>
            <w:tcW w:type="dxa" w:w="1080"/>
          </w:tcPr>
          <w:p>
            <w:r>
              <w:rPr>
                <w:rFonts w:ascii="Calibri" w:hAnsi="Calibri"/>
                <w:sz w:val="22"/>
              </w:rPr>
              <w:t>~62.1%</w:t>
            </w:r>
          </w:p>
        </w:tc>
        <w:tc>
          <w:tcPr>
            <w:tcW w:type="dxa" w:w="1080"/>
          </w:tcPr>
          <w:p>
            <w:r>
              <w:rPr>
                <w:rFonts w:ascii="Calibri" w:hAnsi="Calibri"/>
                <w:sz w:val="22"/>
              </w:rPr>
              <w:t>Flat</w:t>
            </w:r>
          </w:p>
        </w:tc>
        <w:tc>
          <w:tcPr>
            <w:tcW w:type="dxa" w:w="1080"/>
          </w:tcPr>
          <w:p>
            <w:r>
              <w:rPr>
                <w:rFonts w:ascii="Calibri" w:hAnsi="Calibri"/>
                <w:sz w:val="22"/>
              </w:rPr>
              <w:t>60%–63%</w:t>
            </w:r>
          </w:p>
        </w:tc>
        <w:tc>
          <w:tcPr>
            <w:tcW w:type="dxa" w:w="1080"/>
          </w:tcPr>
          <w:p>
            <w:r>
              <w:rPr>
                <w:rFonts w:ascii="Calibri" w:hAnsi="Calibri"/>
                <w:sz w:val="22"/>
              </w:rPr>
              <w:t>60%–63% (unchanged)</w:t>
            </w:r>
          </w:p>
        </w:tc>
        <w:tc>
          <w:tcPr>
            <w:tcW w:type="dxa" w:w="1080"/>
          </w:tcPr>
          <w:p>
            <w:r>
              <w:rPr>
                <w:rFonts w:ascii="Calibri" w:hAnsi="Calibri"/>
                <w:sz w:val="22"/>
              </w:rPr>
              <w:t>No change</w:t>
            </w:r>
          </w:p>
        </w:tc>
        <w:tc>
          <w:tcPr>
            <w:tcW w:type="dxa" w:w="1080"/>
          </w:tcPr>
          <w:p>
            <w:r>
              <w:rPr>
                <w:rFonts w:ascii="Calibri" w:hAnsi="Calibri"/>
                <w:sz w:val="22"/>
              </w:rPr>
              <w:t>Consensus at midpoint of range</w:t>
            </w:r>
          </w:p>
        </w:tc>
      </w:tr>
    </w:tbl>
    <w:p>
      <w:r>
        <w:rPr>
          <w:rFonts w:ascii="Calibri" w:hAnsi="Calibri"/>
          <w:color w:val="525866"/>
          <w:sz w:val="22"/>
        </w:rPr>
        <w:t>The modest downward drift in EPS estimates since Q1 earnings is consistent with the CFO's explicit guidance for a slightly negative Corporate &amp; Other segment in Q2 and the ongoing ~mid-single-digit million dollar drag from the Japan Post Insurance reinsurance transaction. Japan third-sector sales estimates have actually ticked up slightly since Q1, reflecting continued Miraito and Anshin Palette momentum — this is the key upside lever if Q2 sales surprise to the upside as they did in Q1.</w:t>
      </w:r>
    </w:p>
    <w:p>
      <w:r>
        <w:rPr>
          <w:rFonts w:ascii="Calibri" w:hAnsi="Calibri"/>
          <w:i/>
          <w:color w:val="525866"/>
          <w:sz w:val="22"/>
        </w:rPr>
        <w:t>Source: Visible Alpha consensus data (as-of dates: May 5, 2026 and August 5, 2026). Guidance from Aflac Q1 2026 earnings call transcript (April 30,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AFL has rallied ~8% since Q1 earnings (Apr 30 → Aug 5), broadly in line with the S&amp;P 500 but lagging the KIE insurance ETF (+12%), suggesting the stock has not fully priced in sector-level re-rating and performance has been driven by modest multiple expansion rather than estimate revisions (which have drifted slightly lower).</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AFL vs. KIE (SPDR S&amp;P Insurance ETF) vs. S&amp;P 500 (SPY) — Indexed to 100 at Q1 2026 Earnings Date (April 30, 2026). Key events marked: $500M Senior Notes issuance (May 14), Morgan Stanley Financials Conference (June 10), Japan Cyberattack disclosure (June 30). Source: Yahoo Finance / Stock Price Data.</w:t>
      </w:r>
    </w:p>
    <w:p>
      <w:r>
        <w:rPr>
          <w:rFonts w:ascii="Calibri" w:hAnsi="Calibri"/>
          <w:color w:val="525866"/>
          <w:sz w:val="22"/>
        </w:rPr>
        <w:t>AFL opened Q2 2026 on the back foot after a slight Q1 EPS miss, declining from ~$116 to ~$113 in the first week post-earnings. The stock then stabilized and ground higher through May, supported by the broader insurance sector rally (KIE +5% in May). A notable divergence emerged in late May through June: AFL underperformed KIE by ~4 percentage points as the sector re-rated on favorable claims trends (read-through from UNM, CNO, GL Q2 prints), while AFL-specific concerns around the Japan cyberattack (disclosed June 30) and the Corporate &amp; Other headwind weighed. The stock recovered in July, reaching ~$129 intraday on July 28 before pulling back to ~$126 by early August. The KIE ETF's outperformance suggests the market is giving more credit to peers with cleaner U.S.-only benefit ratio stories, while AFL's Japan complexity and the cyberattack overhang have capped the re-rating.</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Aflac Japan cyberattack (June 30, 2026) is the most material post-Q1 development — 4.38 million customer records exposed, FSA notified, and remediation costs/regulatory scrutiny are unquantified heading into the print. The $500M senior notes issuance is a secondary watch item for leverage trajectory.</w:t>
      </w:r>
    </w:p>
    <w:p>
      <w:pPr>
        <w:pStyle w:val="ListBullet"/>
        <w:ind w:left="360" w:hanging="360"/>
      </w:pPr>
      <w:r>
        <w:rPr>
          <w:rFonts w:ascii="Calibri" w:hAnsi="Calibri"/>
          <w:b/>
          <w:color w:val="525866"/>
          <w:sz w:val="22"/>
        </w:rPr>
        <w:t xml:space="preserve">June 30, 2026 — Aflac Japan Cyberattack (8-K Filed): </w:t>
      </w:r>
      <w:r>
        <w:rPr>
          <w:rFonts w:ascii="Calibri" w:hAnsi="Calibri"/>
          <w:color w:val="525866"/>
          <w:sz w:val="22"/>
        </w:rPr>
        <w:t xml:space="preserve">Aflac Life Insurance Japan disclosed unauthorized access to its systems between June 15–25, 2026, exposing personal data of 4.38 million customers and agents (names, addresses, DOB, policy details, bank account info for ~230K). The breach targeted the "Aflac Yoriso Net" policyholder portal. Aflac Japan notified Japan's Financial Services Agency (FSA) and police; no confirmed misuse as of disclosure. U.S. systems were not affected. </w:t>
      </w:r>
    </w:p>
    <w:p>
      <w:pPr>
        <w:pStyle w:val="ListBullet"/>
        <w:ind w:left="360" w:hanging="360"/>
      </w:pPr>
      <w:r>
        <w:rPr>
          <w:rFonts w:ascii="Calibri" w:hAnsi="Calibri"/>
          <w:b/>
          <w:i/>
          <w:color w:val="525866"/>
          <w:sz w:val="22"/>
        </w:rPr>
        <w:t xml:space="preserve">Implication: </w:t>
      </w:r>
      <w:r>
        <w:rPr>
          <w:rFonts w:ascii="Calibri" w:hAnsi="Calibri"/>
          <w:i/>
          <w:color w:val="525866"/>
          <w:sz w:val="22"/>
        </w:rPr>
        <w:t>Remediation costs, potential FSA enforcement actions, and reputational damage in Japan are unquantified. Management will face pointed questions on the call. The breach could also complicate the external reinsurance franchise expansion (Aflac Re Bermuda) if it raises counterparty concerns about Aflac Japan's operational risk controls.</w:t>
      </w:r>
    </w:p>
    <w:p>
      <w:pPr>
        <w:pStyle w:val="ListBullet"/>
        <w:ind w:left="360" w:hanging="360"/>
      </w:pPr>
      <w:r>
        <w:rPr>
          <w:rFonts w:ascii="Calibri" w:hAnsi="Calibri"/>
          <w:b/>
          <w:color w:val="525866"/>
          <w:sz w:val="22"/>
        </w:rPr>
        <w:t xml:space="preserve">May 14, 2026 — $500M Senior Notes Issuance (8-K): </w:t>
      </w:r>
      <w:r>
        <w:rPr>
          <w:rFonts w:ascii="Calibri" w:hAnsi="Calibri"/>
          <w:color w:val="525866"/>
          <w:sz w:val="22"/>
        </w:rPr>
        <w:t xml:space="preserve">Aflac issued $500 million of 10-year senior notes due 2036. This is the first debt issuance since Q1 2026 when adjusted leverage was 21.2% (within the 20–25% target range). </w:t>
      </w:r>
    </w:p>
    <w:p>
      <w:pPr>
        <w:pStyle w:val="ListBullet"/>
        <w:ind w:left="360" w:hanging="360"/>
      </w:pPr>
      <w:r>
        <w:rPr>
          <w:rFonts w:ascii="Calibri" w:hAnsi="Calibri"/>
          <w:b/>
          <w:i/>
          <w:color w:val="525866"/>
          <w:sz w:val="22"/>
        </w:rPr>
        <w:t xml:space="preserve">Implication: </w:t>
      </w:r>
      <w:r>
        <w:rPr>
          <w:rFonts w:ascii="Calibri" w:hAnsi="Calibri"/>
          <w:i/>
          <w:color w:val="525866"/>
          <w:sz w:val="22"/>
        </w:rPr>
        <w:t>Leverage will tick up modestly in Q2; management will likely frame this as opportunistic financing at attractive rates. Watch for updated leverage commentary and whether this changes the capital return cadence.</w:t>
      </w:r>
    </w:p>
    <w:p>
      <w:pPr>
        <w:pStyle w:val="ListBullet"/>
        <w:ind w:left="360" w:hanging="360"/>
      </w:pPr>
      <w:r>
        <w:rPr>
          <w:rFonts w:ascii="Calibri" w:hAnsi="Calibri"/>
          <w:b/>
          <w:color w:val="525866"/>
          <w:sz w:val="22"/>
        </w:rPr>
        <w:t xml:space="preserve">June 10, 2026 — Morgan Stanley U.S. Financials Conference: </w:t>
      </w:r>
      <w:r>
        <w:rPr>
          <w:rFonts w:ascii="Calibri" w:hAnsi="Calibri"/>
          <w:color w:val="525866"/>
          <w:sz w:val="22"/>
        </w:rPr>
        <w:t xml:space="preserve">CFO presented at the Morgan Stanley conference. Key incremental disclosures (per prior research): (1) Q1 2026 underlying Japan earned premium declined modestly YoY; (2) Aflac Re Bermuda's AA credit rating is a structural competitive advantage for the external reinsurance franchise; (3) company is NOT betting on AI-driven expense ratio reduction in guidance or product pricing; (4) U.S. group mix shift will gradually increase the U.S. benefit ratio and decrease the expense ratio over time. </w:t>
      </w:r>
    </w:p>
    <w:p>
      <w:pPr>
        <w:pStyle w:val="ListBullet"/>
        <w:ind w:left="360" w:hanging="360"/>
      </w:pPr>
      <w:r>
        <w:rPr>
          <w:rFonts w:ascii="Calibri" w:hAnsi="Calibri"/>
          <w:b/>
          <w:i/>
          <w:color w:val="525866"/>
          <w:sz w:val="22"/>
        </w:rPr>
        <w:t xml:space="preserve">Implication: </w:t>
      </w:r>
      <w:r>
        <w:rPr>
          <w:rFonts w:ascii="Calibri" w:hAnsi="Calibri"/>
          <w:i/>
          <w:color w:val="525866"/>
          <w:sz w:val="22"/>
        </w:rPr>
        <w:t>No guidance changes, but the conference reinforced the Japan earned premium headwind narrative and provided more color on the reinsurance franchise's competitive positioning.</w:t>
      </w:r>
    </w:p>
    <w:p>
      <w:pPr>
        <w:pStyle w:val="ListBullet"/>
        <w:ind w:left="360" w:hanging="360"/>
      </w:pPr>
      <w:r>
        <w:rPr>
          <w:rFonts w:ascii="Calibri" w:hAnsi="Calibri"/>
          <w:b/>
          <w:color w:val="525866"/>
          <w:sz w:val="22"/>
        </w:rPr>
        <w:t xml:space="preserve">May 7, 2026 — Annual Meeting: Shareholders Reject Independent Board Chairman Proposal (8-K): </w:t>
      </w:r>
      <w:r>
        <w:rPr>
          <w:rFonts w:ascii="Calibri" w:hAnsi="Calibri"/>
          <w:color w:val="525866"/>
          <w:sz w:val="22"/>
        </w:rPr>
        <w:t xml:space="preserve">Shareholders voted against a proposal to require an independent board chairman. No material governance change. </w:t>
      </w:r>
    </w:p>
    <w:p>
      <w:pPr>
        <w:pStyle w:val="ListBullet"/>
        <w:ind w:left="360" w:hanging="360"/>
      </w:pPr>
      <w:r>
        <w:rPr>
          <w:rFonts w:ascii="Calibri" w:hAnsi="Calibri"/>
          <w:b/>
          <w:i/>
          <w:color w:val="525866"/>
          <w:sz w:val="22"/>
        </w:rPr>
        <w:t xml:space="preserve">Implication: </w:t>
      </w:r>
      <w:r>
        <w:rPr>
          <w:rFonts w:ascii="Calibri" w:hAnsi="Calibri"/>
          <w:i/>
          <w:color w:val="525866"/>
          <w:sz w:val="22"/>
        </w:rPr>
        <w:t>Minimal near-term impact; governance structure unchanged.</w:t>
      </w:r>
    </w:p>
    <w:p>
      <w:pPr>
        <w:pStyle w:val="ListBullet"/>
        <w:ind w:left="360" w:hanging="360"/>
      </w:pPr>
      <w:r>
        <w:rPr>
          <w:rFonts w:ascii="Calibri" w:hAnsi="Calibri"/>
          <w:b/>
          <w:color w:val="525866"/>
          <w:sz w:val="22"/>
        </w:rPr>
        <w:t xml:space="preserve">June 30, 2026 — Q2 2026 Earnings Date Announcement (Press Release): </w:t>
      </w:r>
      <w:r>
        <w:rPr>
          <w:rFonts w:ascii="Calibri" w:hAnsi="Calibri"/>
          <w:color w:val="525866"/>
          <w:sz w:val="22"/>
        </w:rPr>
        <w:t xml:space="preserve">Aflac confirmed Q2 2026 results will be released August 6, 2026 (CFO video update) with a webcast on August 7, 2026. </w:t>
      </w:r>
    </w:p>
    <w:p>
      <w:pPr>
        <w:pStyle w:val="ListBullet"/>
        <w:ind w:left="360" w:hanging="360"/>
      </w:pPr>
      <w:r>
        <w:rPr>
          <w:rFonts w:ascii="Calibri" w:hAnsi="Calibri"/>
          <w:b/>
          <w:i/>
          <w:color w:val="525866"/>
          <w:sz w:val="22"/>
        </w:rPr>
        <w:t xml:space="preserve">Implication: </w:t>
      </w:r>
      <w:r>
        <w:rPr>
          <w:rFonts w:ascii="Calibri" w:hAnsi="Calibri"/>
          <w:i/>
          <w:color w:val="525866"/>
          <w:sz w:val="22"/>
        </w:rPr>
        <w:t>Standard disclosure; the CFO video format (rather than a traditional press release) is consistent with recent quarters.</w:t>
      </w:r>
    </w:p>
    <w:p>
      <w:pPr>
        <w:pStyle w:val="ListBullet"/>
        <w:ind w:left="360" w:hanging="360"/>
      </w:pPr>
      <w:r>
        <w:rPr>
          <w:rFonts w:ascii="Calibri" w:hAnsi="Calibri"/>
          <w:b/>
          <w:color w:val="525866"/>
          <w:sz w:val="22"/>
        </w:rPr>
        <w:t xml:space="preserve">Ongoing — Japan Reinsurance Franchise (Aflac Re Bermuda): </w:t>
      </w:r>
      <w:r>
        <w:rPr>
          <w:rFonts w:ascii="Calibri" w:hAnsi="Calibri"/>
          <w:color w:val="525866"/>
          <w:sz w:val="22"/>
        </w:rPr>
        <w:t xml:space="preserve">The Japan Post Insurance whole-life annuity reinsurance transaction (effective March 31, 2026) is expected to have a mid-single-digit million dollar negative impact on Japan segment earnings for "the next couple of quarters" before trending toward zero. This is a known, guided headwind for Q2 2026. </w:t>
      </w:r>
    </w:p>
    <w:p>
      <w:pPr>
        <w:pStyle w:val="ListBullet"/>
        <w:ind w:left="360" w:hanging="360"/>
      </w:pPr>
      <w:r>
        <w:rPr>
          <w:rFonts w:ascii="Calibri" w:hAnsi="Calibri"/>
          <w:b/>
          <w:i/>
          <w:color w:val="525866"/>
          <w:sz w:val="22"/>
        </w:rPr>
        <w:t xml:space="preserve">Implication: </w:t>
      </w:r>
      <w:r>
        <w:rPr>
          <w:rFonts w:ascii="Calibri" w:hAnsi="Calibri"/>
          <w:i/>
          <w:color w:val="525866"/>
          <w:sz w:val="22"/>
        </w:rPr>
        <w:t>Modest drag on Japan operating income in Q2; management will likely reiterate the long-term strategic rationale and potential for future transactions to be "immediately accretive."</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Q2 2026 peer earnings calls from CNO, UNM, LNC, and GL collectively signal a favorable U.S. supplemental/voluntary benefits demand environment with broadly positive claims trends — a constructive read-through for AFL's U.S. segment. The key divergence is PFML-driven disability pressure at UNM and LNC, which is not directly relevant to AFL's product mix. Japan-specific commentary is absent from all peers.</w:t>
      </w:r>
    </w:p>
    <w:p>
      <w:r>
        <w:rPr>
          <w:rFonts w:ascii="Calibri" w:hAnsi="Calibri"/>
          <w:i/>
          <w:color w:val="525866"/>
          <w:sz w:val="22"/>
        </w:rPr>
        <w:t>Note: Only Q2 2026 earnings call transcripts are included below (reported July–August 2026). Q1 2026 peer commentary has been excluded per the user's instruction to focus on current reporting quarter read-throughs.</w:t>
      </w:r>
    </w:p>
    <w:p>
      <w:pPr>
        <w:pStyle w:val="Heading3"/>
      </w:pPr>
      <w:r>
        <w:rPr>
          <w:rFonts w:ascii="Calibri" w:hAnsi="Calibri"/>
          <w:b/>
          <w:color w:val="3B4259"/>
          <w:sz w:val="24"/>
        </w:rPr>
        <w:t>CNO Financial Group (CNO) — Q2 2026 Earnings Call (July 31, 2026)</w:t>
      </w:r>
    </w:p>
    <w:p>
      <w:r>
        <w:rPr>
          <w:rFonts w:ascii="Calibri" w:hAnsi="Calibri"/>
          <w:b/>
          <w:color w:val="525866"/>
          <w:sz w:val="22"/>
        </w:rPr>
        <w:t xml:space="preserve">Relevance to AFL: </w:t>
      </w:r>
      <w:r>
        <w:rPr>
          <w:rFonts w:ascii="Calibri" w:hAnsi="Calibri"/>
          <w:color w:val="525866"/>
          <w:sz w:val="22"/>
        </w:rPr>
        <w:t>CNO is AFL's closest U.S. peer in supplemental health and worksite voluntary benefits. CNO's Q2 results are a strong positive read-through for AFL's U.S. segment.</w:t>
      </w:r>
    </w:p>
    <w:p>
      <w:pPr>
        <w:pStyle w:val="ListBullet"/>
        <w:ind w:left="360" w:hanging="360"/>
      </w:pPr>
      <w:r>
        <w:rPr>
          <w:rFonts w:ascii="Calibri" w:hAnsi="Calibri"/>
          <w:b/>
          <w:color w:val="525866"/>
          <w:sz w:val="22"/>
        </w:rPr>
        <w:t xml:space="preserve">Supplemental health demand remains robust: </w:t>
      </w:r>
      <w:r>
        <w:rPr>
          <w:rFonts w:ascii="Calibri" w:hAnsi="Calibri"/>
          <w:color w:val="525866"/>
          <w:sz w:val="22"/>
        </w:rPr>
        <w:t>CNO reported its 16th consecutive quarter of sales growth and 14th consecutive quarter of producing agent count growth. Total new annualized premiums were up 7% with multiple sales records set. Worksite division delivered its 17th consecutive quarter of sustained sales growth, with record life and health NAP up 29% — the seventh consecutive quarter of double-digit insurance sales growth. This is a strong positive read-through for AFL's U.S. group business momentum.</w:t>
      </w:r>
    </w:p>
    <w:p>
      <w:pPr>
        <w:pStyle w:val="ListBullet"/>
        <w:ind w:left="360" w:hanging="360"/>
      </w:pPr>
      <w:r>
        <w:rPr>
          <w:rFonts w:ascii="Calibri" w:hAnsi="Calibri"/>
          <w:b/>
          <w:color w:val="525866"/>
          <w:sz w:val="22"/>
        </w:rPr>
        <w:t xml:space="preserve">Favorable claims experience across all product categories: </w:t>
      </w:r>
      <w:r>
        <w:rPr>
          <w:rFonts w:ascii="Calibri" w:hAnsi="Calibri"/>
          <w:color w:val="525866"/>
          <w:sz w:val="22"/>
        </w:rPr>
        <w:t>CNO cited broadly favorable claims experience driving growth in insurance product margin across fixed indexed annuities, supplemental health, Medicare supplement, and long-term care. Supplemental health benefited from block growth, though partially offset by a handful of large claims on older policies (viewed as isolated). This is constructive for AFL's U.S. benefit ratio, which consensus expects at ~48.9% in Q2 (within the 48–52% guidance range).</w:t>
      </w:r>
    </w:p>
    <w:p>
      <w:pPr>
        <w:pStyle w:val="ListBullet"/>
        <w:ind w:left="360" w:hanging="360"/>
      </w:pPr>
      <w:r>
        <w:rPr>
          <w:rFonts w:ascii="Calibri" w:hAnsi="Calibri"/>
          <w:b/>
          <w:color w:val="525866"/>
          <w:sz w:val="22"/>
        </w:rPr>
        <w:t xml:space="preserve">Employer mix shift toward voluntary benefits: </w:t>
      </w:r>
      <w:r>
        <w:rPr>
          <w:rFonts w:ascii="Calibri" w:hAnsi="Calibri"/>
          <w:color w:val="525866"/>
          <w:sz w:val="22"/>
        </w:rPr>
        <w:t>CNO noted employers are reducing traditional Medicare coverage while increasing availability of employee-paid voluntary benefits — directly benefiting AFL's worksite distribution model and group product expansion. CNO raised full-year EPS guidance by 8% at the midpoint to $4.60–$4.80, signaling strong underlying business momentum.</w:t>
      </w:r>
    </w:p>
    <w:p>
      <w:pPr>
        <w:pStyle w:val="ListBullet"/>
        <w:ind w:left="360" w:hanging="360"/>
      </w:pPr>
      <w:r>
        <w:rPr>
          <w:rFonts w:ascii="Calibri" w:hAnsi="Calibri"/>
          <w:b/>
          <w:color w:val="525866"/>
          <w:sz w:val="22"/>
        </w:rPr>
        <w:t xml:space="preserve">Medicare Advantage to Medicare Supplement shift: </w:t>
      </w:r>
      <w:r>
        <w:rPr>
          <w:rFonts w:ascii="Calibri" w:hAnsi="Calibri"/>
          <w:color w:val="525866"/>
          <w:sz w:val="22"/>
        </w:rPr>
        <w:t>Medicare Supplement NAP was up 52% at CNO, marking the third consecutive quarter of 50%+ growth. While AFL does not sell Medicare Supplement, the broader shift away from Medicare Advantage reflects consumer demand for supplemental coverage — a tailwind for AFL's cancer and medical products in the U.S.</w:t>
      </w:r>
    </w:p>
    <w:p>
      <w:pPr>
        <w:pStyle w:val="Heading3"/>
      </w:pPr>
      <w:r>
        <w:rPr>
          <w:rFonts w:ascii="Calibri" w:hAnsi="Calibri"/>
          <w:b/>
          <w:color w:val="3B4259"/>
          <w:sz w:val="24"/>
        </w:rPr>
        <w:t>Unum Group (UNM) — Q2 2026 Earnings Call (July 29, 2026)</w:t>
      </w:r>
    </w:p>
    <w:p>
      <w:r>
        <w:rPr>
          <w:rFonts w:ascii="Calibri" w:hAnsi="Calibri"/>
          <w:b/>
          <w:color w:val="525866"/>
          <w:sz w:val="22"/>
        </w:rPr>
        <w:t xml:space="preserve">Relevance to AFL: </w:t>
      </w:r>
      <w:r>
        <w:rPr>
          <w:rFonts w:ascii="Calibri" w:hAnsi="Calibri"/>
          <w:color w:val="525866"/>
          <w:sz w:val="22"/>
        </w:rPr>
        <w:t>UNM is a major U.S. group benefits and supplemental insurance peer. The read-through is mixed — positive on voluntary/supplemental demand but negative on PFML-driven disability pressure (not directly relevant to AFL).</w:t>
      </w:r>
    </w:p>
    <w:p>
      <w:pPr>
        <w:pStyle w:val="ListBullet"/>
        <w:ind w:left="360" w:hanging="360"/>
      </w:pPr>
      <w:r>
        <w:rPr>
          <w:rFonts w:ascii="Calibri" w:hAnsi="Calibri"/>
          <w:b/>
          <w:color w:val="525866"/>
          <w:sz w:val="22"/>
        </w:rPr>
        <w:t xml:space="preserve">Colonial Life (voluntary benefits) had a record quarter: </w:t>
      </w:r>
      <w:r>
        <w:rPr>
          <w:rFonts w:ascii="Calibri" w:hAnsi="Calibri"/>
          <w:color w:val="525866"/>
          <w:sz w:val="22"/>
        </w:rPr>
        <w:t>Colonial Life — UNM's worksite voluntary benefits division most comparable to AFL's U.S. segment — reported a record earnings quarter with adjusted operating income of $131.4M (up from $117.4M in Q2 2025). Benefit ratio of 46.7% was favorable vs. the 48–50% expected range. Sales grew 6% with 10% growth from new clients. This is a direct positive read-through for AFL's U.S. voluntary benefits business.</w:t>
      </w:r>
    </w:p>
    <w:p>
      <w:pPr>
        <w:pStyle w:val="ListBullet"/>
        <w:ind w:left="360" w:hanging="360"/>
      </w:pPr>
      <w:r>
        <w:rPr>
          <w:rFonts w:ascii="Calibri" w:hAnsi="Calibri"/>
          <w:b/>
          <w:color w:val="525866"/>
          <w:sz w:val="22"/>
        </w:rPr>
        <w:t xml:space="preserve">U.S. supplemental &amp; voluntary benefit ratio favorable: </w:t>
      </w:r>
      <w:r>
        <w:rPr>
          <w:rFonts w:ascii="Calibri" w:hAnsi="Calibri"/>
          <w:color w:val="525866"/>
          <w:sz w:val="22"/>
        </w:rPr>
        <w:t>UNM's U.S. supplemental and voluntary segment reported a benefit ratio of 47.4%, favorable to the 48–50% outlook range, driven by strong multi-life individual disability claims experience. This supports the view that AFL's U.S. benefit ratio could come in at or below the low end of its 48–52% guidance range in Q2.</w:t>
      </w:r>
    </w:p>
    <w:p>
      <w:pPr>
        <w:pStyle w:val="ListBullet"/>
        <w:ind w:left="360" w:hanging="360"/>
      </w:pPr>
      <w:r>
        <w:rPr>
          <w:rFonts w:ascii="Calibri" w:hAnsi="Calibri"/>
          <w:b/>
          <w:color w:val="525866"/>
          <w:sz w:val="22"/>
        </w:rPr>
        <w:t xml:space="preserve">PFML pressure — not directly relevant to AFL: </w:t>
      </w:r>
      <w:r>
        <w:rPr>
          <w:rFonts w:ascii="Calibri" w:hAnsi="Calibri"/>
          <w:color w:val="525866"/>
          <w:sz w:val="22"/>
        </w:rPr>
        <w:t>UNM's group disability benefit ratio was 65.8% (above the 62–64% expectation), driven by elevated short-term disability claims in newer Paid Family and Medical Leave (PFML) markets. UNM is implementing double-digit rate adjustments. AFL does not have material PFML exposure, so this is not a direct read-through, but it signals that the broader group disability market is experiencing some claims normalization.</w:t>
      </w:r>
    </w:p>
    <w:p>
      <w:pPr>
        <w:pStyle w:val="ListBullet"/>
        <w:ind w:left="360" w:hanging="360"/>
      </w:pPr>
      <w:r>
        <w:rPr>
          <w:rFonts w:ascii="Calibri" w:hAnsi="Calibri"/>
          <w:b/>
          <w:color w:val="525866"/>
          <w:sz w:val="22"/>
        </w:rPr>
        <w:t xml:space="preserve">Solid premium growth and persistency: </w:t>
      </w:r>
      <w:r>
        <w:rPr>
          <w:rFonts w:ascii="Calibri" w:hAnsi="Calibri"/>
          <w:color w:val="525866"/>
          <w:sz w:val="22"/>
        </w:rPr>
        <w:t>UNM reported underlying premium growth of ~5% with good persistency across the board. U.S. Unum brand sales grew 7.4% in Q2, with year-to-date growth of 14.3%. This is consistent with AFL's U.S. group business momentum (+12.4% in Q1 2026).</w:t>
      </w:r>
    </w:p>
    <w:p>
      <w:pPr>
        <w:pStyle w:val="ListBullet"/>
        <w:ind w:left="360" w:hanging="360"/>
      </w:pPr>
      <w:r>
        <w:rPr>
          <w:rFonts w:ascii="Calibri" w:hAnsi="Calibri"/>
          <w:b/>
          <w:color w:val="525866"/>
          <w:sz w:val="22"/>
        </w:rPr>
        <w:t xml:space="preserve">Full-year guidance reaffirmed: </w:t>
      </w:r>
      <w:r>
        <w:rPr>
          <w:rFonts w:ascii="Calibri" w:hAnsi="Calibri"/>
          <w:color w:val="525866"/>
          <w:sz w:val="22"/>
        </w:rPr>
        <w:t>UNM reaffirmed full-year adjusted operating EPS guidance of $8.60–$8.90 despite PFML and U.K. headwinds, demonstrating confidence in the underlying business. The company expects to deploy ~$1.3B to shareholders by year-end.</w:t>
      </w:r>
    </w:p>
    <w:p>
      <w:pPr>
        <w:pStyle w:val="Heading3"/>
      </w:pPr>
      <w:r>
        <w:rPr>
          <w:rFonts w:ascii="Calibri" w:hAnsi="Calibri"/>
          <w:b/>
          <w:color w:val="3B4259"/>
          <w:sz w:val="24"/>
        </w:rPr>
        <w:t>Lincoln Financial (LNC) — Q2 2026 Earnings Call (July 30, 2026)</w:t>
      </w:r>
    </w:p>
    <w:p>
      <w:r>
        <w:rPr>
          <w:rFonts w:ascii="Calibri" w:hAnsi="Calibri"/>
          <w:b/>
          <w:color w:val="525866"/>
          <w:sz w:val="22"/>
        </w:rPr>
        <w:t xml:space="preserve">Relevance to AFL: </w:t>
      </w:r>
      <w:r>
        <w:rPr>
          <w:rFonts w:ascii="Calibri" w:hAnsi="Calibri"/>
          <w:color w:val="525866"/>
          <w:sz w:val="22"/>
        </w:rPr>
        <w:t>LNC's group protection segment is a read-through for U.S. group benefits demand and claims trends. The reinsurance transaction announcement is also relevant context for AFL's own reinsurance strategy.</w:t>
      </w:r>
    </w:p>
    <w:p>
      <w:pPr>
        <w:pStyle w:val="ListBullet"/>
        <w:ind w:left="360" w:hanging="360"/>
      </w:pPr>
      <w:r>
        <w:rPr>
          <w:rFonts w:ascii="Calibri" w:hAnsi="Calibri"/>
          <w:b/>
          <w:color w:val="525866"/>
          <w:sz w:val="22"/>
        </w:rPr>
        <w:t xml:space="preserve">Favorable life mortality trends continue: </w:t>
      </w:r>
      <w:r>
        <w:rPr>
          <w:rFonts w:ascii="Calibri" w:hAnsi="Calibri"/>
          <w:color w:val="525866"/>
          <w:sz w:val="22"/>
        </w:rPr>
        <w:t>LNC's life loss ratio improved to ~62% in Q2 (down ~500 bps YoY) on low incidence and favorable mortality. LNC noted "5 out of the last 6 quarters have been very favorable for mortality." This is a positive read-through for AFL's Japan and U.S. life-related benefit ratios.</w:t>
      </w:r>
    </w:p>
    <w:p>
      <w:pPr>
        <w:pStyle w:val="ListBullet"/>
        <w:ind w:left="360" w:hanging="360"/>
      </w:pPr>
      <w:r>
        <w:rPr>
          <w:rFonts w:ascii="Calibri" w:hAnsi="Calibri"/>
          <w:b/>
          <w:color w:val="525866"/>
          <w:sz w:val="22"/>
        </w:rPr>
        <w:t xml:space="preserve">Supplemental health is the fastest-growing area: </w:t>
      </w:r>
      <w:r>
        <w:rPr>
          <w:rFonts w:ascii="Calibri" w:hAnsi="Calibri"/>
          <w:color w:val="525866"/>
          <w:sz w:val="22"/>
        </w:rPr>
        <w:t>LNC's supplemental health premium rose 28% YoY and now represents 7% of in-force premium (up from 5% a year ago). Supplemental health represented 26% of Q2 sales. This confirms the structural demand tailwind for AFL's supplemental product suite in the U.S.</w:t>
      </w:r>
    </w:p>
    <w:p>
      <w:pPr>
        <w:pStyle w:val="ListBullet"/>
        <w:ind w:left="360" w:hanging="360"/>
      </w:pPr>
      <w:r>
        <w:rPr>
          <w:rFonts w:ascii="Calibri" w:hAnsi="Calibri"/>
          <w:b/>
          <w:color w:val="525866"/>
          <w:sz w:val="22"/>
        </w:rPr>
        <w:t xml:space="preserve">PFML headwind much smaller in Q2 vs. Q1: </w:t>
      </w:r>
      <w:r>
        <w:rPr>
          <w:rFonts w:ascii="Calibri" w:hAnsi="Calibri"/>
          <w:color w:val="525866"/>
          <w:sz w:val="22"/>
        </w:rPr>
        <w:t>LNC noted PFML's impact on the disability loss ratio was less than 20 bps in Q2 vs. ~100 bps in Q1, as the initial impact of new states coming online primarily hits Q1. This is a positive signal that Q2 group disability results should be cleaner across the industry.</w:t>
      </w:r>
    </w:p>
    <w:p>
      <w:pPr>
        <w:pStyle w:val="ListBullet"/>
        <w:ind w:left="360" w:hanging="360"/>
      </w:pPr>
      <w:r>
        <w:rPr>
          <w:rFonts w:ascii="Calibri" w:hAnsi="Calibri"/>
          <w:b/>
          <w:color w:val="525866"/>
          <w:sz w:val="22"/>
        </w:rPr>
        <w:t xml:space="preserve">Reinsurance transaction — strategic context for AFL: </w:t>
      </w:r>
      <w:r>
        <w:rPr>
          <w:rFonts w:ascii="Calibri" w:hAnsi="Calibri"/>
          <w:color w:val="525866"/>
          <w:sz w:val="22"/>
        </w:rPr>
        <w:t>LNC announced a $6B legacy GUL reinsurance transaction with Talcott, expected to increase annual free cash flow by $30–40M and reduce long-term mortality/lapse/interest rate risk. While AFL's reinsurance strategy is on the asset side (assuming blocks from Japan insurers), the broader industry trend of using reinsurance for capital optimization is relevant context for AFL's Aflac Re Bermuda franchise.</w:t>
      </w:r>
    </w:p>
    <w:p>
      <w:pPr>
        <w:pStyle w:val="ListBullet"/>
        <w:ind w:left="360" w:hanging="360"/>
      </w:pPr>
      <w:r>
        <w:rPr>
          <w:rFonts w:ascii="Calibri" w:hAnsi="Calibri"/>
          <w:b/>
          <w:color w:val="525866"/>
          <w:sz w:val="22"/>
        </w:rPr>
        <w:t xml:space="preserve">Group protection margin within target range: </w:t>
      </w:r>
      <w:r>
        <w:rPr>
          <w:rFonts w:ascii="Calibri" w:hAnsi="Calibri"/>
          <w:color w:val="525866"/>
          <w:sz w:val="22"/>
        </w:rPr>
        <w:t>LNC expects to deliver a full-year group protection margin within its 8–9% target range, supported by repricing benefits and strategic growth in higher-margin segments. This is consistent with AFL's U.S. segment operating within its pretax margin guidance.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from insiders since Q1 earnings. The dominant activity is Japan Post Holdings' systematic 10b5-1 plan sales (pre-planned, obligation-driven), which have been ongoing daily since May. Three director sales are notable but small in size; one (Charles Lake) was a discretionary open-market sale. No insider buying signals conviction in the stock at current levels.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Japan Post Holdings Co., Ltd.</w:t>
            </w:r>
          </w:p>
        </w:tc>
        <w:tc>
          <w:tcPr>
            <w:tcW w:type="dxa" w:w="1440"/>
          </w:tcPr>
          <w:p>
            <w:r>
              <w:rPr>
                <w:rFonts w:ascii="Calibri" w:hAnsi="Calibri"/>
                <w:sz w:val="22"/>
              </w:rPr>
              <w:t>10% Owner</w:t>
            </w:r>
          </w:p>
        </w:tc>
        <w:tc>
          <w:tcPr>
            <w:tcW w:type="dxa" w:w="1440"/>
          </w:tcPr>
          <w:p>
            <w:r>
              <w:rPr>
                <w:rFonts w:ascii="Calibri" w:hAnsi="Calibri"/>
                <w:sz w:val="22"/>
              </w:rPr>
              <w:t>10b5-1 Planned Sale (ongoing)</w:t>
            </w:r>
          </w:p>
        </w:tc>
        <w:tc>
          <w:tcPr>
            <w:tcW w:type="dxa" w:w="1440"/>
          </w:tcPr>
          <w:p>
            <w:r>
              <w:rPr>
                <w:rFonts w:ascii="Calibri" w:hAnsi="Calibri"/>
                <w:sz w:val="22"/>
              </w:rPr>
              <w:t>~700,000+ shares (cumulative May–June 2026, multiple daily transactions)</w:t>
            </w:r>
          </w:p>
        </w:tc>
        <w:tc>
          <w:tcPr>
            <w:tcW w:type="dxa" w:w="1440"/>
          </w:tcPr>
          <w:p>
            <w:r>
              <w:rPr>
                <w:rFonts w:ascii="Calibri" w:hAnsi="Calibri"/>
                <w:sz w:val="22"/>
              </w:rPr>
              <w:t>May 11 – June 22, 2026</w:t>
            </w:r>
          </w:p>
        </w:tc>
        <w:tc>
          <w:tcPr>
            <w:tcW w:type="dxa" w:w="1440"/>
          </w:tcPr>
          <w:p>
            <w:r>
              <w:rPr>
                <w:rFonts w:ascii="Calibri" w:hAnsi="Calibri"/>
                <w:sz w:val="22"/>
              </w:rPr>
              <w:t>Pre-planned 10b5-1 program; systematic daily sales; Japan Post Holdings reducing AFL stake over time; not a discretionary signal. Shares outstanding declined from ~51.6M to ~50.9M over the period.</w:t>
            </w:r>
          </w:p>
        </w:tc>
      </w:tr>
      <w:tr>
        <w:tc>
          <w:tcPr>
            <w:tcW w:type="dxa" w:w="1440"/>
          </w:tcPr>
          <w:p>
            <w:r>
              <w:rPr>
                <w:rFonts w:ascii="Calibri" w:hAnsi="Calibri"/>
                <w:sz w:val="22"/>
              </w:rPr>
              <w:t>MOSKOWITZ JOSEPH L</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12,370 shares</w:t>
            </w:r>
          </w:p>
        </w:tc>
        <w:tc>
          <w:tcPr>
            <w:tcW w:type="dxa" w:w="1440"/>
          </w:tcPr>
          <w:p>
            <w:r>
              <w:rPr>
                <w:rFonts w:ascii="Calibri" w:hAnsi="Calibri"/>
                <w:sz w:val="22"/>
              </w:rPr>
              <w:t>June 22, 2026</w:t>
            </w:r>
          </w:p>
        </w:tc>
        <w:tc>
          <w:tcPr>
            <w:tcW w:type="dxa" w:w="1440"/>
          </w:tcPr>
          <w:p>
            <w:r>
              <w:rPr>
                <w:rFonts w:ascii="Calibri" w:hAnsi="Calibri"/>
                <w:sz w:val="22"/>
              </w:rPr>
              <w:t>Discretionary sale (not 10b5-1); sold at ~$116–$117; retains 33,310 shares. Modest size relative to holdings.</w:t>
            </w:r>
          </w:p>
        </w:tc>
      </w:tr>
      <w:tr>
        <w:tc>
          <w:tcPr>
            <w:tcW w:type="dxa" w:w="1440"/>
          </w:tcPr>
          <w:p>
            <w:r>
              <w:rPr>
                <w:rFonts w:ascii="Calibri" w:hAnsi="Calibri"/>
                <w:sz w:val="22"/>
              </w:rPr>
              <w:t>KENNY THOMAS J</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1,740 shares</w:t>
            </w:r>
          </w:p>
        </w:tc>
        <w:tc>
          <w:tcPr>
            <w:tcW w:type="dxa" w:w="1440"/>
          </w:tcPr>
          <w:p>
            <w:r>
              <w:rPr>
                <w:rFonts w:ascii="Calibri" w:hAnsi="Calibri"/>
                <w:sz w:val="22"/>
              </w:rPr>
              <w:t>May 15, 2026</w:t>
            </w:r>
          </w:p>
        </w:tc>
        <w:tc>
          <w:tcPr>
            <w:tcW w:type="dxa" w:w="1440"/>
          </w:tcPr>
          <w:p>
            <w:r>
              <w:rPr>
                <w:rFonts w:ascii="Calibri" w:hAnsi="Calibri"/>
                <w:sz w:val="22"/>
              </w:rPr>
              <w:t>Discretionary sale (not 10b5-1); small size; retains 13,219 shares.</w:t>
            </w:r>
          </w:p>
        </w:tc>
      </w:tr>
      <w:tr>
        <w:tc>
          <w:tcPr>
            <w:tcW w:type="dxa" w:w="1440"/>
          </w:tcPr>
          <w:p>
            <w:r>
              <w:rPr>
                <w:rFonts w:ascii="Calibri" w:hAnsi="Calibri"/>
                <w:sz w:val="22"/>
              </w:rPr>
              <w:t>Collins Arthur Reginald</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2,300 shares</w:t>
            </w:r>
          </w:p>
        </w:tc>
        <w:tc>
          <w:tcPr>
            <w:tcW w:type="dxa" w:w="1440"/>
          </w:tcPr>
          <w:p>
            <w:r>
              <w:rPr>
                <w:rFonts w:ascii="Calibri" w:hAnsi="Calibri"/>
                <w:sz w:val="22"/>
              </w:rPr>
              <w:t>May 14, 2026</w:t>
            </w:r>
          </w:p>
        </w:tc>
        <w:tc>
          <w:tcPr>
            <w:tcW w:type="dxa" w:w="1440"/>
          </w:tcPr>
          <w:p>
            <w:r>
              <w:rPr>
                <w:rFonts w:ascii="Calibri" w:hAnsi="Calibri"/>
                <w:sz w:val="22"/>
              </w:rPr>
              <w:t>Discretionary sale (not 10b5-1); small size; retains 6,186 shares.</w:t>
            </w:r>
          </w:p>
        </w:tc>
      </w:tr>
      <w:tr>
        <w:tc>
          <w:tcPr>
            <w:tcW w:type="dxa" w:w="1440"/>
          </w:tcPr>
          <w:p>
            <w:r>
              <w:rPr>
                <w:rFonts w:ascii="Calibri" w:hAnsi="Calibri"/>
                <w:sz w:val="22"/>
              </w:rPr>
              <w:t>LAKE CHARLES D II</w:t>
            </w:r>
          </w:p>
        </w:tc>
        <w:tc>
          <w:tcPr>
            <w:tcW w:type="dxa" w:w="1440"/>
          </w:tcPr>
          <w:p>
            <w:r>
              <w:rPr>
                <w:rFonts w:ascii="Calibri" w:hAnsi="Calibri"/>
                <w:sz w:val="22"/>
              </w:rPr>
              <w:t>Chairman &amp; Rep. Director, ALIJ</w:t>
            </w:r>
          </w:p>
        </w:tc>
        <w:tc>
          <w:tcPr>
            <w:tcW w:type="dxa" w:w="1440"/>
          </w:tcPr>
          <w:p>
            <w:r>
              <w:rPr>
                <w:rFonts w:ascii="Calibri" w:hAnsi="Calibri"/>
                <w:sz w:val="22"/>
              </w:rPr>
              <w:t>Open Market Sale</w:t>
            </w:r>
          </w:p>
        </w:tc>
        <w:tc>
          <w:tcPr>
            <w:tcW w:type="dxa" w:w="1440"/>
          </w:tcPr>
          <w:p>
            <w:r>
              <w:rPr>
                <w:rFonts w:ascii="Calibri" w:hAnsi="Calibri"/>
                <w:sz w:val="22"/>
              </w:rPr>
              <w:t>6,500 shares</w:t>
            </w:r>
          </w:p>
        </w:tc>
        <w:tc>
          <w:tcPr>
            <w:tcW w:type="dxa" w:w="1440"/>
          </w:tcPr>
          <w:p>
            <w:r>
              <w:rPr>
                <w:rFonts w:ascii="Calibri" w:hAnsi="Calibri"/>
                <w:sz w:val="22"/>
              </w:rPr>
              <w:t>May 5, 2026</w:t>
            </w:r>
          </w:p>
        </w:tc>
        <w:tc>
          <w:tcPr>
            <w:tcW w:type="dxa" w:w="1440"/>
          </w:tcPr>
          <w:p>
            <w:r>
              <w:rPr>
                <w:rFonts w:ascii="Calibri" w:hAnsi="Calibri"/>
                <w:sz w:val="22"/>
              </w:rPr>
              <w:t>Discretionary sale (not 10b5-1); sold at ~$113–$114; retains 50,737 shares. Largest discretionary insider sale in the period; Lake is Chairman of Aflac Life Insurance Japan, making this notable given Japan-specific context.</w:t>
            </w:r>
          </w:p>
        </w:tc>
      </w:tr>
      <w:tr>
        <w:tc>
          <w:tcPr>
            <w:tcW w:type="dxa" w:w="1440"/>
          </w:tcPr>
          <w:p>
            <w:r>
              <w:rPr>
                <w:rFonts w:ascii="Calibri" w:hAnsi="Calibri"/>
                <w:sz w:val="22"/>
              </w:rPr>
              <w:t>MOSKOWITZ JOSEPH L</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600 shares</w:t>
            </w:r>
          </w:p>
        </w:tc>
        <w:tc>
          <w:tcPr>
            <w:tcW w:type="dxa" w:w="1440"/>
          </w:tcPr>
          <w:p>
            <w:r>
              <w:rPr>
                <w:rFonts w:ascii="Calibri" w:hAnsi="Calibri"/>
                <w:sz w:val="22"/>
              </w:rPr>
              <w:t>May 8, 2026</w:t>
            </w:r>
          </w:p>
        </w:tc>
        <w:tc>
          <w:tcPr>
            <w:tcW w:type="dxa" w:w="1440"/>
          </w:tcPr>
          <w:p>
            <w:r>
              <w:rPr>
                <w:rFonts w:ascii="Calibri" w:hAnsi="Calibri"/>
                <w:sz w:val="22"/>
              </w:rPr>
              <w:t>Pre-planned 10b5-1 sale; very small size; obligation-driven.</w:t>
            </w:r>
          </w:p>
        </w:tc>
      </w:tr>
      <w:tr>
        <w:tc>
          <w:tcPr>
            <w:tcW w:type="dxa" w:w="1440"/>
          </w:tcPr>
          <w:p>
            <w:r>
              <w:rPr>
                <w:rFonts w:ascii="Calibri" w:hAnsi="Calibri"/>
                <w:sz w:val="22"/>
              </w:rPr>
              <w:t>Hosoda Miwako</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243 shares</w:t>
            </w:r>
          </w:p>
        </w:tc>
        <w:tc>
          <w:tcPr>
            <w:tcW w:type="dxa" w:w="1440"/>
          </w:tcPr>
          <w:p>
            <w:r>
              <w:rPr>
                <w:rFonts w:ascii="Calibri" w:hAnsi="Calibri"/>
                <w:sz w:val="22"/>
              </w:rPr>
              <w:t>May 6, 2026</w:t>
            </w:r>
          </w:p>
        </w:tc>
        <w:tc>
          <w:tcPr>
            <w:tcW w:type="dxa" w:w="1440"/>
          </w:tcPr>
          <w:p>
            <w:r>
              <w:rPr>
                <w:rFonts w:ascii="Calibri" w:hAnsi="Calibri"/>
                <w:sz w:val="22"/>
              </w:rPr>
              <w:t>Pre-planned 10b5-1 sale; very small size; obligation-driven.</w:t>
            </w:r>
          </w:p>
        </w:tc>
      </w:tr>
    </w:tbl>
    <w:p>
      <w:r>
        <w:rPr>
          <w:rFonts w:ascii="Calibri" w:hAnsi="Calibri"/>
          <w:i/>
          <w:color w:val="525866"/>
          <w:sz w:val="22"/>
        </w:rPr>
        <w:t>Source: SEC Form 4 filings (Insider Transaction Data). Window: May 5 – June 24, 2026 (filing date). Open-market buys (transaction code P) and sells (code S) only, plus 10b5-1 plan disclosures.</w:t>
      </w:r>
    </w:p>
    <w:p>
      <w:r>
        <w:rPr>
          <w:rFonts w:ascii="Calibri" w:hAnsi="Calibri"/>
          <w:b/>
          <w:color w:val="525866"/>
          <w:sz w:val="22"/>
        </w:rPr>
        <w:t xml:space="preserve">Analysis: </w:t>
      </w:r>
      <w:r>
        <w:rPr>
          <w:rFonts w:ascii="Calibri" w:hAnsi="Calibri"/>
          <w:color w:val="525866"/>
          <w:sz w:val="22"/>
        </w:rPr>
        <w:t>The insider picture is uninspiring but not alarming. Japan Post Holdings' systematic daily sales are a known, pre-planned program and carry no informational content about AFL's near-term prospects. The three discretionary director sales (Moskowitz, Kenny, Collins) are small relative to retained holdings and are consistent with routine portfolio management. The most notable transaction is Charles Lake's 6,500-share discretionary sale on May 5 — the day after Q1 earnings — at ~$113–$114. As Chairman of Aflac Life Insurance Japan, Lake has the deepest visibility into Japan operations; while the sale is small in absolute terms, the timing (immediately post-earnings, at a depressed price) is worth noting. The complete absence of open-market buying from any insider since Q1 earnings does not signal strong conviction in the stock at current levels (~$125–$127).</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