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Aflac Incorporated (AFL)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Aflac Incorporated</w:t>
            </w:r>
          </w:p>
        </w:tc>
      </w:tr>
      <w:tr>
        <w:tc>
          <w:tcPr>
            <w:tcW w:type="dxa" w:w="4320"/>
          </w:tcPr>
          <w:p>
            <w:r>
              <w:rPr>
                <w:rFonts w:ascii="Calibri" w:hAnsi="Calibri"/>
                <w:b/>
                <w:sz w:val="22"/>
              </w:rPr>
              <w:t>Ticker</w:t>
            </w:r>
          </w:p>
        </w:tc>
        <w:tc>
          <w:tcPr>
            <w:tcW w:type="dxa" w:w="4320"/>
          </w:tcPr>
          <w:p>
            <w:r>
              <w:rPr>
                <w:rFonts w:ascii="Calibri" w:hAnsi="Calibri"/>
                <w:sz w:val="22"/>
              </w:rPr>
              <w:t>AFL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Release</w:t>
            </w:r>
          </w:p>
        </w:tc>
        <w:tc>
          <w:tcPr>
            <w:tcW w:type="dxa" w:w="4320"/>
          </w:tcPr>
          <w:p>
            <w:r>
              <w:rPr>
                <w:rFonts w:ascii="Calibri" w:hAnsi="Calibri"/>
                <w:sz w:val="22"/>
              </w:rPr>
              <w:t>August 6, 2026 (after market close)</w:t>
            </w:r>
          </w:p>
        </w:tc>
      </w:tr>
      <w:tr>
        <w:tc>
          <w:tcPr>
            <w:tcW w:type="dxa" w:w="4320"/>
          </w:tcPr>
          <w:p>
            <w:r>
              <w:rPr>
                <w:rFonts w:ascii="Calibri" w:hAnsi="Calibri"/>
                <w:b/>
                <w:sz w:val="22"/>
              </w:rPr>
              <w:t>Earnings Webcast</w:t>
            </w:r>
          </w:p>
        </w:tc>
        <w:tc>
          <w:tcPr>
            <w:tcW w:type="dxa" w:w="4320"/>
          </w:tcPr>
          <w:p>
            <w:r>
              <w:rPr>
                <w:rFonts w:ascii="Calibri" w:hAnsi="Calibri"/>
                <w:sz w:val="22"/>
              </w:rPr>
              <w:t>August 7, 2026, 8:00 AM ET</w:t>
            </w:r>
          </w:p>
        </w:tc>
      </w:tr>
      <w:tr>
        <w:tc>
          <w:tcPr>
            <w:tcW w:type="dxa" w:w="4320"/>
          </w:tcPr>
          <w:p>
            <w:r>
              <w:rPr>
                <w:rFonts w:ascii="Calibri" w:hAnsi="Calibri"/>
                <w:b/>
                <w:sz w:val="22"/>
              </w:rPr>
              <w:t>Prepared</w:t>
            </w:r>
          </w:p>
        </w:tc>
        <w:tc>
          <w:tcPr>
            <w:tcW w:type="dxa" w:w="4320"/>
          </w:tcPr>
          <w:p>
            <w:r>
              <w:rPr>
                <w:rFonts w:ascii="Calibri" w:hAnsi="Calibri"/>
                <w:sz w:val="22"/>
              </w:rPr>
              <w:t>August 5, 2026</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into Q2 is a modest beat or in-line print — consensus has drifted lower since Q1 (adjusted EPS estimate fell from ~$1.80 to ~$1.77), creating a manageable bar — but the single biggest swing factor is whether Japan sales momentum from Miraito and Anshin Palette continues to track toward management's ¥80 billion full-year target.</w:t>
      </w:r>
    </w:p>
    <w:p>
      <w:r>
        <w:rPr>
          <w:rFonts w:ascii="Calibri" w:hAnsi="Calibri"/>
          <w:color w:val="525866"/>
          <w:sz w:val="22"/>
        </w:rPr>
        <w:t xml:space="preserve">Heading into Q2 2026 earnings, Aflac faces a consensus adjusted EPS estimate of approximately </w:t>
      </w:r>
      <w:r>
        <w:rPr>
          <w:rFonts w:ascii="Calibri" w:hAnsi="Calibri"/>
          <w:b/>
          <w:color w:val="525866"/>
          <w:sz w:val="22"/>
        </w:rPr>
        <w:t>$1.77</w:t>
      </w:r>
      <w:r>
        <w:rPr>
          <w:rFonts w:ascii="Calibri" w:hAnsi="Calibri"/>
          <w:color w:val="525866"/>
          <w:sz w:val="22"/>
        </w:rPr>
        <w:t xml:space="preserve"> — down from the ~$1.80 post-Q1 baseline — reflecting modest downward drift since the April 30 print, where the company delivered a slight miss versus expectations. The bar is not demanding, and management's tone on the Q1 call was constructive: Japan full-year 2026 sales guidance was informally raised toward </w:t>
      </w:r>
      <w:r>
        <w:rPr>
          <w:rFonts w:ascii="Calibri" w:hAnsi="Calibri"/>
          <w:b/>
          <w:color w:val="525866"/>
          <w:sz w:val="22"/>
        </w:rPr>
        <w:t>¥80 billion</w:t>
      </w:r>
      <w:r>
        <w:rPr>
          <w:rFonts w:ascii="Calibri" w:hAnsi="Calibri"/>
          <w:color w:val="525866"/>
          <w:sz w:val="22"/>
        </w:rPr>
        <w:t xml:space="preserve"> (above the prior year's ¥74 billion), and the Japan benefit ratio outlook of 60–63% was reaffirmed with confidence. Estimate revisions have tracked modestly lower since Q1, consistent with the near-term drag from the new external reinsurance transaction (mid-single-digit USD million negative impact per quarter for a couple of quarters), but the trajectory is not alarming. The stock has rallied approximately </w:t>
      </w:r>
      <w:r>
        <w:rPr>
          <w:rFonts w:ascii="Calibri" w:hAnsi="Calibri"/>
          <w:b/>
          <w:color w:val="525866"/>
          <w:sz w:val="22"/>
        </w:rPr>
        <w:t>+8% since the Q1 print</w:t>
      </w:r>
      <w:r>
        <w:rPr>
          <w:rFonts w:ascii="Calibri" w:hAnsi="Calibri"/>
          <w:color w:val="525866"/>
          <w:sz w:val="22"/>
        </w:rPr>
        <w:t xml:space="preserve"> (from ~$116 to ~$126), outperforming both the KIE insurance ETF and the S&amp;P 500, suggesting the market has already priced in some operational improvement — meaning a clean beat is needed to sustain momentum. The key wildcard is </w:t>
      </w:r>
      <w:r>
        <w:rPr>
          <w:rFonts w:ascii="Calibri" w:hAnsi="Calibri"/>
          <w:b/>
          <w:color w:val="525866"/>
          <w:sz w:val="22"/>
        </w:rPr>
        <w:t>Japan sales</w:t>
      </w:r>
      <w:r>
        <w:rPr>
          <w:rFonts w:ascii="Calibri" w:hAnsi="Calibri"/>
          <w:color w:val="525866"/>
          <w:sz w:val="22"/>
        </w:rPr>
        <w:t>: if Q2 Japan new premiums (in yen) track materially above the ~¥20.9 billion consensus, it would signal the ¥80 billion full-year target is achievable and provide a meaningful catalyst; a miss would raise questions about the earned premium inflection timeline.</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Consensus is a low-to-moderate bar on adjusted EPS (~$1.77) after modest post-Q1 downward drift; Japan new premiums in yen is the bigger swing factor, with the market watching whether Miraito/Anshin Palette momentum sustains the path toward the ¥80B full-year target.</w:t>
      </w:r>
    </w:p>
    <w:p>
      <w:pPr>
        <w:pStyle w:val="Heading2"/>
      </w:pPr>
      <w:r>
        <w:rPr>
          <w:rFonts w:ascii="Calibri" w:hAnsi="Calibri"/>
          <w:b/>
          <w:color w:val="3B4259"/>
          <w:sz w:val="28"/>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(FY 2026)</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Adjusted EPS (Diluted Operating)</w:t>
            </w:r>
          </w:p>
        </w:tc>
        <w:tc>
          <w:tcPr>
            <w:tcW w:type="dxa" w:w="1234"/>
          </w:tcPr>
          <w:p>
            <w:r>
              <w:rPr>
                <w:rFonts w:ascii="Calibri" w:hAnsi="Calibri"/>
                <w:sz w:val="22"/>
              </w:rPr>
              <w:t>$1.75</w:t>
            </w:r>
          </w:p>
        </w:tc>
        <w:tc>
          <w:tcPr>
            <w:tcW w:type="dxa" w:w="1234"/>
          </w:tcPr>
          <w:p>
            <w:r>
              <w:rPr>
                <w:rFonts w:ascii="Calibri" w:hAnsi="Calibri"/>
                <w:sz w:val="22"/>
              </w:rPr>
              <w:t>$1.78</w:t>
            </w:r>
          </w:p>
        </w:tc>
        <w:tc>
          <w:tcPr>
            <w:tcW w:type="dxa" w:w="1234"/>
          </w:tcPr>
          <w:p>
            <w:r>
              <w:rPr>
                <w:rFonts w:ascii="Calibri" w:hAnsi="Calibri"/>
                <w:sz w:val="22"/>
              </w:rPr>
              <w:t>$1.77</w:t>
            </w:r>
          </w:p>
        </w:tc>
        <w:tc>
          <w:tcPr>
            <w:tcW w:type="dxa" w:w="1234"/>
          </w:tcPr>
          <w:p>
            <w:r>
              <w:rPr>
                <w:rFonts w:ascii="Calibri" w:hAnsi="Calibri"/>
                <w:sz w:val="22"/>
              </w:rPr>
              <w:t>−0.6% YoY</w:t>
            </w:r>
          </w:p>
        </w:tc>
        <w:tc>
          <w:tcPr>
            <w:tcW w:type="dxa" w:w="1234"/>
          </w:tcPr>
          <w:p>
            <w:r>
              <w:rPr>
                <w:rFonts w:ascii="Calibri" w:hAnsi="Calibri"/>
                <w:sz w:val="22"/>
              </w:rPr>
              <w:t>No explicit quarterly guidance; FY ~$7.04 consensus</w:t>
            </w:r>
          </w:p>
        </w:tc>
        <w:tc>
          <w:tcPr>
            <w:tcW w:type="dxa" w:w="1234"/>
          </w:tcPr>
          <w:p>
            <w:r>
              <w:rPr>
                <w:rFonts w:ascii="Calibri" w:hAnsi="Calibri"/>
                <w:sz w:val="22"/>
              </w:rPr>
              <w:t>N/A (no quarterly guidance)</w:t>
            </w:r>
          </w:p>
        </w:tc>
      </w:tr>
      <w:tr>
        <w:tc>
          <w:tcPr>
            <w:tcW w:type="dxa" w:w="1234"/>
          </w:tcPr>
          <w:p>
            <w:r>
              <w:rPr>
                <w:rFonts w:ascii="Calibri" w:hAnsi="Calibri"/>
                <w:sz w:val="22"/>
              </w:rPr>
              <w:t>Total Operating Revenue</w:t>
            </w:r>
          </w:p>
        </w:tc>
        <w:tc>
          <w:tcPr>
            <w:tcW w:type="dxa" w:w="1234"/>
          </w:tcPr>
          <w:p>
            <w:r>
              <w:rPr>
                <w:rFonts w:ascii="Calibri" w:hAnsi="Calibri"/>
                <w:sz w:val="22"/>
              </w:rPr>
              <w:t>$4.243B</w:t>
            </w:r>
          </w:p>
        </w:tc>
        <w:tc>
          <w:tcPr>
            <w:tcW w:type="dxa" w:w="1234"/>
          </w:tcPr>
          <w:p>
            <w:r>
              <w:rPr>
                <w:rFonts w:ascii="Calibri" w:hAnsi="Calibri"/>
                <w:sz w:val="22"/>
              </w:rPr>
              <w:t>$4.536B</w:t>
            </w:r>
          </w:p>
        </w:tc>
        <w:tc>
          <w:tcPr>
            <w:tcW w:type="dxa" w:w="1234"/>
          </w:tcPr>
          <w:p>
            <w:r>
              <w:rPr>
                <w:rFonts w:ascii="Calibri" w:hAnsi="Calibri"/>
                <w:sz w:val="22"/>
              </w:rPr>
              <w:t>$4.233B</w:t>
            </w:r>
          </w:p>
        </w:tc>
        <w:tc>
          <w:tcPr>
            <w:tcW w:type="dxa" w:w="1234"/>
          </w:tcPr>
          <w:p>
            <w:r>
              <w:rPr>
                <w:rFonts w:ascii="Calibri" w:hAnsi="Calibri"/>
                <w:sz w:val="22"/>
              </w:rPr>
              <w:t>−6.7% YoY</w:t>
            </w:r>
          </w:p>
        </w:tc>
        <w:tc>
          <w:tcPr>
            <w:tcW w:type="dxa" w:w="1234"/>
          </w:tcPr>
          <w:p>
            <w:r>
              <w:rPr>
                <w:rFonts w:ascii="Calibri" w:hAnsi="Calibri"/>
                <w:sz w:val="22"/>
              </w:rPr>
              <w:t>FY ~$16.92B consensus</w:t>
            </w:r>
          </w:p>
        </w:tc>
        <w:tc>
          <w:tcPr>
            <w:tcW w:type="dxa" w:w="1234"/>
          </w:tcPr>
          <w:p>
            <w:r>
              <w:rPr>
                <w:rFonts w:ascii="Calibri" w:hAnsi="Calibri"/>
                <w:sz w:val="22"/>
              </w:rPr>
              <w:t>N/A (no quarterly guidance)</w:t>
            </w:r>
          </w:p>
        </w:tc>
      </w:tr>
      <w:tr>
        <w:tc>
          <w:tcPr>
            <w:tcW w:type="dxa" w:w="1234"/>
          </w:tcPr>
          <w:p>
            <w:r>
              <w:rPr>
                <w:rFonts w:ascii="Calibri" w:hAnsi="Calibri"/>
                <w:sz w:val="22"/>
              </w:rPr>
              <w:t>Japan New Premiums (¥B)</w:t>
            </w:r>
          </w:p>
        </w:tc>
        <w:tc>
          <w:tcPr>
            <w:tcW w:type="dxa" w:w="1234"/>
          </w:tcPr>
          <w:p>
            <w:r>
              <w:rPr>
                <w:rFonts w:ascii="Calibri" w:hAnsi="Calibri"/>
                <w:sz w:val="22"/>
              </w:rPr>
              <w:t>¥17.7B</w:t>
            </w:r>
          </w:p>
        </w:tc>
        <w:tc>
          <w:tcPr>
            <w:tcW w:type="dxa" w:w="1234"/>
          </w:tcPr>
          <w:p>
            <w:r>
              <w:rPr>
                <w:rFonts w:ascii="Calibri" w:hAnsi="Calibri"/>
                <w:sz w:val="22"/>
              </w:rPr>
              <w:t>¥20.7B</w:t>
            </w:r>
          </w:p>
        </w:tc>
        <w:tc>
          <w:tcPr>
            <w:tcW w:type="dxa" w:w="1234"/>
          </w:tcPr>
          <w:p>
            <w:r>
              <w:rPr>
                <w:rFonts w:ascii="Calibri" w:hAnsi="Calibri"/>
                <w:sz w:val="22"/>
              </w:rPr>
              <w:t>¥20.96B</w:t>
            </w:r>
          </w:p>
        </w:tc>
        <w:tc>
          <w:tcPr>
            <w:tcW w:type="dxa" w:w="1234"/>
          </w:tcPr>
          <w:p>
            <w:r>
              <w:rPr>
                <w:rFonts w:ascii="Calibri" w:hAnsi="Calibri"/>
                <w:sz w:val="22"/>
              </w:rPr>
              <w:t>+1.3% YoY</w:t>
            </w:r>
          </w:p>
        </w:tc>
        <w:tc>
          <w:tcPr>
            <w:tcW w:type="dxa" w:w="1234"/>
          </w:tcPr>
          <w:p>
            <w:r>
              <w:rPr>
                <w:rFonts w:ascii="Calibri" w:hAnsi="Calibri"/>
                <w:sz w:val="22"/>
              </w:rPr>
              <w:t>FY ~¥80B (mgmt informal target)</w:t>
            </w:r>
          </w:p>
        </w:tc>
        <w:tc>
          <w:tcPr>
            <w:tcW w:type="dxa" w:w="1234"/>
          </w:tcPr>
          <w:p>
            <w:r>
              <w:rPr>
                <w:rFonts w:ascii="Calibri" w:hAnsi="Calibri"/>
                <w:sz w:val="22"/>
              </w:rPr>
              <w:t>FY consensus ¥79.0B vs. ~¥80B target (−1.2%)</w:t>
            </w:r>
          </w:p>
        </w:tc>
      </w:tr>
      <w:tr>
        <w:tc>
          <w:tcPr>
            <w:tcW w:type="dxa" w:w="1234"/>
          </w:tcPr>
          <w:p>
            <w:r>
              <w:rPr>
                <w:rFonts w:ascii="Calibri" w:hAnsi="Calibri"/>
                <w:sz w:val="22"/>
              </w:rPr>
              <w:t>U.S. New Premiums</w:t>
            </w:r>
          </w:p>
        </w:tc>
        <w:tc>
          <w:tcPr>
            <w:tcW w:type="dxa" w:w="1234"/>
          </w:tcPr>
          <w:p>
            <w:r>
              <w:rPr>
                <w:rFonts w:ascii="Calibri" w:hAnsi="Calibri"/>
                <w:sz w:val="22"/>
              </w:rPr>
              <w:t>$318M</w:t>
            </w:r>
          </w:p>
        </w:tc>
        <w:tc>
          <w:tcPr>
            <w:tcW w:type="dxa" w:w="1234"/>
          </w:tcPr>
          <w:p>
            <w:r>
              <w:rPr>
                <w:rFonts w:ascii="Calibri" w:hAnsi="Calibri"/>
                <w:sz w:val="22"/>
              </w:rPr>
              <w:t>$340M</w:t>
            </w:r>
          </w:p>
        </w:tc>
        <w:tc>
          <w:tcPr>
            <w:tcW w:type="dxa" w:w="1234"/>
          </w:tcPr>
          <w:p>
            <w:r>
              <w:rPr>
                <w:rFonts w:ascii="Calibri" w:hAnsi="Calibri"/>
                <w:sz w:val="22"/>
              </w:rPr>
              <w:t>$355M</w:t>
            </w:r>
          </w:p>
        </w:tc>
        <w:tc>
          <w:tcPr>
            <w:tcW w:type="dxa" w:w="1234"/>
          </w:tcPr>
          <w:p>
            <w:r>
              <w:rPr>
                <w:rFonts w:ascii="Calibri" w:hAnsi="Calibri"/>
                <w:sz w:val="22"/>
              </w:rPr>
              <w:t>+4.4% YoY</w:t>
            </w:r>
          </w:p>
        </w:tc>
        <w:tc>
          <w:tcPr>
            <w:tcW w:type="dxa" w:w="1234"/>
          </w:tcPr>
          <w:p>
            <w:r>
              <w:rPr>
                <w:rFonts w:ascii="Calibri" w:hAnsi="Calibri"/>
                <w:sz w:val="22"/>
              </w:rPr>
              <w:t>No explicit guidance</w:t>
            </w:r>
          </w:p>
        </w:tc>
        <w:tc>
          <w:tcPr>
            <w:tcW w:type="dxa" w:w="1234"/>
          </w:tcPr>
          <w:p>
            <w:r>
              <w:rPr>
                <w:rFonts w:ascii="Calibri" w:hAnsi="Calibri"/>
                <w:sz w:val="22"/>
              </w:rPr>
              <w:t>N/A</w:t>
            </w:r>
          </w:p>
        </w:tc>
      </w:tr>
      <w:tr>
        <w:tc>
          <w:tcPr>
            <w:tcW w:type="dxa" w:w="1234"/>
          </w:tcPr>
          <w:p>
            <w:r>
              <w:rPr>
                <w:rFonts w:ascii="Calibri" w:hAnsi="Calibri"/>
                <w:sz w:val="22"/>
              </w:rPr>
              <w:t>Japan Benefit Ratio (% of premium)</w:t>
            </w:r>
          </w:p>
        </w:tc>
        <w:tc>
          <w:tcPr>
            <w:tcW w:type="dxa" w:w="1234"/>
          </w:tcPr>
          <w:p>
            <w:r>
              <w:rPr>
                <w:rFonts w:ascii="Calibri" w:hAnsi="Calibri"/>
                <w:sz w:val="22"/>
              </w:rPr>
              <w:t>62.9%</w:t>
            </w:r>
          </w:p>
        </w:tc>
        <w:tc>
          <w:tcPr>
            <w:tcW w:type="dxa" w:w="1234"/>
          </w:tcPr>
          <w:p>
            <w:r>
              <w:rPr>
                <w:rFonts w:ascii="Calibri" w:hAnsi="Calibri"/>
                <w:sz w:val="22"/>
              </w:rPr>
              <w:t>66.5%</w:t>
            </w:r>
          </w:p>
        </w:tc>
        <w:tc>
          <w:tcPr>
            <w:tcW w:type="dxa" w:w="1234"/>
          </w:tcPr>
          <w:p>
            <w:r>
              <w:rPr>
                <w:rFonts w:ascii="Calibri" w:hAnsi="Calibri"/>
                <w:sz w:val="22"/>
              </w:rPr>
              <w:t>61.8%</w:t>
            </w:r>
          </w:p>
        </w:tc>
        <w:tc>
          <w:tcPr>
            <w:tcW w:type="dxa" w:w="1234"/>
          </w:tcPr>
          <w:p>
            <w:r>
              <w:rPr>
                <w:rFonts w:ascii="Calibri" w:hAnsi="Calibri"/>
                <w:sz w:val="22"/>
              </w:rPr>
              <w:t>−470 bps YoY</w:t>
            </w:r>
          </w:p>
        </w:tc>
        <w:tc>
          <w:tcPr>
            <w:tcW w:type="dxa" w:w="1234"/>
          </w:tcPr>
          <w:p>
            <w:r>
              <w:rPr>
                <w:rFonts w:ascii="Calibri" w:hAnsi="Calibri"/>
                <w:sz w:val="22"/>
              </w:rPr>
              <w:t>60%–63% (FY 2026)</w:t>
            </w:r>
          </w:p>
        </w:tc>
        <w:tc>
          <w:tcPr>
            <w:tcW w:type="dxa" w:w="1234"/>
          </w:tcPr>
          <w:p>
            <w:r>
              <w:rPr>
                <w:rFonts w:ascii="Calibri" w:hAnsi="Calibri"/>
                <w:sz w:val="22"/>
              </w:rPr>
              <w:t>61.8% — within guidance range</w:t>
            </w:r>
          </w:p>
        </w:tc>
      </w:tr>
      <w:tr>
        <w:tc>
          <w:tcPr>
            <w:tcW w:type="dxa" w:w="1234"/>
          </w:tcPr>
          <w:p>
            <w:r>
              <w:rPr>
                <w:rFonts w:ascii="Calibri" w:hAnsi="Calibri"/>
                <w:sz w:val="22"/>
              </w:rPr>
              <w:t>U.S. Benefit Ratio (% of premium)</w:t>
            </w:r>
          </w:p>
        </w:tc>
        <w:tc>
          <w:tcPr>
            <w:tcW w:type="dxa" w:w="1234"/>
          </w:tcPr>
          <w:p>
            <w:r>
              <w:rPr>
                <w:rFonts w:ascii="Calibri" w:hAnsi="Calibri"/>
                <w:sz w:val="22"/>
              </w:rPr>
              <w:t>47.2%</w:t>
            </w:r>
          </w:p>
        </w:tc>
        <w:tc>
          <w:tcPr>
            <w:tcW w:type="dxa" w:w="1234"/>
          </w:tcPr>
          <w:p>
            <w:r>
              <w:rPr>
                <w:rFonts w:ascii="Calibri" w:hAnsi="Calibri"/>
                <w:sz w:val="22"/>
              </w:rPr>
              <w:t>47.3%</w:t>
            </w:r>
          </w:p>
        </w:tc>
        <w:tc>
          <w:tcPr>
            <w:tcW w:type="dxa" w:w="1234"/>
          </w:tcPr>
          <w:p>
            <w:r>
              <w:rPr>
                <w:rFonts w:ascii="Calibri" w:hAnsi="Calibri"/>
                <w:sz w:val="22"/>
              </w:rPr>
              <w:t>48.9%</w:t>
            </w:r>
          </w:p>
        </w:tc>
        <w:tc>
          <w:tcPr>
            <w:tcW w:type="dxa" w:w="1234"/>
          </w:tcPr>
          <w:p>
            <w:r>
              <w:rPr>
                <w:rFonts w:ascii="Calibri" w:hAnsi="Calibri"/>
                <w:sz w:val="22"/>
              </w:rPr>
              <w:t>+160 bps YoY</w:t>
            </w:r>
          </w:p>
        </w:tc>
        <w:tc>
          <w:tcPr>
            <w:tcW w:type="dxa" w:w="1234"/>
          </w:tcPr>
          <w:p>
            <w:r>
              <w:rPr>
                <w:rFonts w:ascii="Calibri" w:hAnsi="Calibri"/>
                <w:sz w:val="22"/>
              </w:rPr>
              <w:t>48%–52% (FY 2026)</w:t>
            </w:r>
          </w:p>
        </w:tc>
        <w:tc>
          <w:tcPr>
            <w:tcW w:type="dxa" w:w="1234"/>
          </w:tcPr>
          <w:p>
            <w:r>
              <w:rPr>
                <w:rFonts w:ascii="Calibri" w:hAnsi="Calibri"/>
                <w:sz w:val="22"/>
              </w:rPr>
              <w:t>48.9% — within guidance range</w:t>
            </w:r>
          </w:p>
        </w:tc>
      </w:tr>
    </w:tbl>
    <w:p>
      <w:r>
        <w:rPr>
          <w:rFonts w:ascii="Calibri" w:hAnsi="Calibri"/>
          <w:color w:val="525866"/>
          <w:sz w:val="22"/>
        </w:rPr>
        <w:t>Source: Visible Alpha consensus and actuals data. All figures sourced from Visible Alpha; consensus as of August 5, 2026. Japan New Premiums denominated in Japanese yen (billions). Q2 2025 Total Operating Revenue of $4.536B reflects a quarter with elevated reserve remeasurement gains. YoY revenue decline is largely FX-driven (yen weakness) and reflects Japan earned premium headwinds, not operational deterioration.</w:t>
      </w:r>
    </w:p>
    <w:p>
      <w:pPr>
        <w:pStyle w:val="Heading2"/>
      </w:pPr>
      <w:r>
        <w:rPr>
          <w:rFonts w:ascii="Calibri" w:hAnsi="Calibri"/>
          <w:b/>
          <w:color w:val="3B4259"/>
          <w:sz w:val="28"/>
        </w:rPr>
        <w:t>Table 2 — Beat/Miss History (Last 8 Quarters, Top 2 KPIs)</w:t>
      </w:r>
    </w:p>
    <w:p>
      <w:pPr>
        <w:pStyle w:val="Heading3"/>
      </w:pPr>
      <w:r>
        <w:rPr>
          <w:rFonts w:ascii="Calibri" w:hAnsi="Calibri"/>
          <w:b/>
          <w:color w:val="3B4259"/>
          <w:sz w:val="24"/>
        </w:rPr>
        <w:t>Adjusted EPS (Diluted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$1.75</w:t>
            </w:r>
          </w:p>
        </w:tc>
        <w:tc>
          <w:tcPr>
            <w:tcW w:type="dxa" w:w="1728"/>
          </w:tcPr>
          <w:p>
            <w:r>
              <w:rPr>
                <w:rFonts w:ascii="Calibri" w:hAnsi="Calibri"/>
                <w:sz w:val="22"/>
              </w:rPr>
              <w:t>$1.80</w:t>
            </w:r>
          </w:p>
        </w:tc>
        <w:tc>
          <w:tcPr>
            <w:tcW w:type="dxa" w:w="1728"/>
          </w:tcPr>
          <w:p>
            <w:r>
              <w:rPr>
                <w:rFonts w:ascii="Calibri" w:hAnsi="Calibri"/>
                <w:b/>
                <w:color w:val="E5484D"/>
                <w:sz w:val="22"/>
              </w:rPr>
              <w:t>−2.8%</w:t>
            </w:r>
          </w:p>
        </w:tc>
        <w:tc>
          <w:tcPr>
            <w:tcW w:type="dxa" w:w="1728"/>
          </w:tcPr>
          <w:p>
            <w:r>
              <w:rPr>
                <w:rFonts w:ascii="Calibri" w:hAnsi="Calibri"/>
                <w:sz w:val="22"/>
              </w:rPr>
              <w:t>Miss</w:t>
            </w:r>
          </w:p>
        </w:tc>
      </w:tr>
      <w:tr>
        <w:tc>
          <w:tcPr>
            <w:tcW w:type="dxa" w:w="1728"/>
          </w:tcPr>
          <w:p>
            <w:r>
              <w:rPr>
                <w:rFonts w:ascii="Calibri" w:hAnsi="Calibri"/>
                <w:sz w:val="22"/>
              </w:rPr>
              <w:t>Q4 2025</w:t>
            </w:r>
          </w:p>
        </w:tc>
        <w:tc>
          <w:tcPr>
            <w:tcW w:type="dxa" w:w="1728"/>
          </w:tcPr>
          <w:p>
            <w:r>
              <w:rPr>
                <w:rFonts w:ascii="Calibri" w:hAnsi="Calibri"/>
                <w:sz w:val="22"/>
              </w:rPr>
              <w:t>$1.57</w:t>
            </w:r>
          </w:p>
        </w:tc>
        <w:tc>
          <w:tcPr>
            <w:tcW w:type="dxa" w:w="1728"/>
          </w:tcPr>
          <w:p>
            <w:r>
              <w:rPr>
                <w:rFonts w:ascii="Calibri" w:hAnsi="Calibri"/>
                <w:sz w:val="22"/>
              </w:rPr>
              <w:t>$1.69</w:t>
            </w:r>
          </w:p>
        </w:tc>
        <w:tc>
          <w:tcPr>
            <w:tcW w:type="dxa" w:w="1728"/>
          </w:tcPr>
          <w:p>
            <w:r>
              <w:rPr>
                <w:rFonts w:ascii="Calibri" w:hAnsi="Calibri"/>
                <w:b/>
                <w:color w:val="E5484D"/>
                <w:sz w:val="22"/>
              </w:rPr>
              <w:t>−7.1%</w:t>
            </w:r>
          </w:p>
        </w:tc>
        <w:tc>
          <w:tcPr>
            <w:tcW w:type="dxa" w:w="1728"/>
          </w:tcPr>
          <w:p>
            <w:r>
              <w:rPr>
                <w:rFonts w:ascii="Calibri" w:hAnsi="Calibri"/>
                <w:sz w:val="22"/>
              </w:rPr>
              <w:t>Miss</w:t>
            </w:r>
          </w:p>
        </w:tc>
      </w:tr>
      <w:tr>
        <w:tc>
          <w:tcPr>
            <w:tcW w:type="dxa" w:w="1728"/>
          </w:tcPr>
          <w:p>
            <w:r>
              <w:rPr>
                <w:rFonts w:ascii="Calibri" w:hAnsi="Calibri"/>
                <w:sz w:val="22"/>
              </w:rPr>
              <w:t>Q3 2025</w:t>
            </w:r>
          </w:p>
        </w:tc>
        <w:tc>
          <w:tcPr>
            <w:tcW w:type="dxa" w:w="1728"/>
          </w:tcPr>
          <w:p>
            <w:r>
              <w:rPr>
                <w:rFonts w:ascii="Calibri" w:hAnsi="Calibri"/>
                <w:sz w:val="22"/>
              </w:rPr>
              <w:t>$2.49</w:t>
            </w:r>
          </w:p>
        </w:tc>
        <w:tc>
          <w:tcPr>
            <w:tcW w:type="dxa" w:w="1728"/>
          </w:tcPr>
          <w:p>
            <w:r>
              <w:rPr>
                <w:rFonts w:ascii="Calibri" w:hAnsi="Calibri"/>
                <w:sz w:val="22"/>
              </w:rPr>
              <w:t>$1.76</w:t>
            </w:r>
          </w:p>
        </w:tc>
        <w:tc>
          <w:tcPr>
            <w:tcW w:type="dxa" w:w="1728"/>
          </w:tcPr>
          <w:p>
            <w:r>
              <w:rPr>
                <w:rFonts w:ascii="Calibri" w:hAnsi="Calibri"/>
                <w:b/>
                <w:color w:val="30A46C"/>
                <w:sz w:val="22"/>
              </w:rPr>
              <w:t>+41.5%</w:t>
            </w:r>
          </w:p>
        </w:tc>
        <w:tc>
          <w:tcPr>
            <w:tcW w:type="dxa" w:w="1728"/>
          </w:tcPr>
          <w:p>
            <w:r>
              <w:rPr>
                <w:rFonts w:ascii="Calibri" w:hAnsi="Calibri"/>
                <w:sz w:val="22"/>
              </w:rPr>
              <w:t>Beat (assumption unlock)</w:t>
            </w:r>
          </w:p>
        </w:tc>
      </w:tr>
      <w:tr>
        <w:tc>
          <w:tcPr>
            <w:tcW w:type="dxa" w:w="1728"/>
          </w:tcPr>
          <w:p>
            <w:r>
              <w:rPr>
                <w:rFonts w:ascii="Calibri" w:hAnsi="Calibri"/>
                <w:sz w:val="22"/>
              </w:rPr>
              <w:t>Q2 2025</w:t>
            </w:r>
          </w:p>
        </w:tc>
        <w:tc>
          <w:tcPr>
            <w:tcW w:type="dxa" w:w="1728"/>
          </w:tcPr>
          <w:p>
            <w:r>
              <w:rPr>
                <w:rFonts w:ascii="Calibri" w:hAnsi="Calibri"/>
                <w:sz w:val="22"/>
              </w:rPr>
              <w:t>$1.78</w:t>
            </w:r>
          </w:p>
        </w:tc>
        <w:tc>
          <w:tcPr>
            <w:tcW w:type="dxa" w:w="1728"/>
          </w:tcPr>
          <w:p>
            <w:r>
              <w:rPr>
                <w:rFonts w:ascii="Calibri" w:hAnsi="Calibri"/>
                <w:sz w:val="22"/>
              </w:rPr>
              <w:t>$1.70</w:t>
            </w:r>
          </w:p>
        </w:tc>
        <w:tc>
          <w:tcPr>
            <w:tcW w:type="dxa" w:w="1728"/>
          </w:tcPr>
          <w:p>
            <w:r>
              <w:rPr>
                <w:rFonts w:ascii="Calibri" w:hAnsi="Calibri"/>
                <w:b/>
                <w:color w:val="30A46C"/>
                <w:sz w:val="22"/>
              </w:rPr>
              <w:t>+4.7%</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$1.66</w:t>
            </w:r>
          </w:p>
        </w:tc>
        <w:tc>
          <w:tcPr>
            <w:tcW w:type="dxa" w:w="1728"/>
          </w:tcPr>
          <w:p>
            <w:r>
              <w:rPr>
                <w:rFonts w:ascii="Calibri" w:hAnsi="Calibri"/>
                <w:sz w:val="22"/>
              </w:rPr>
              <w:t>$1.66</w:t>
            </w:r>
          </w:p>
        </w:tc>
        <w:tc>
          <w:tcPr>
            <w:tcW w:type="dxa" w:w="1728"/>
          </w:tcPr>
          <w:p>
            <w:r>
              <w:rPr>
                <w:rFonts w:ascii="Calibri" w:hAnsi="Calibri"/>
                <w:sz w:val="22"/>
              </w:rPr>
              <w:t>0.0%</w:t>
            </w:r>
          </w:p>
        </w:tc>
        <w:tc>
          <w:tcPr>
            <w:tcW w:type="dxa" w:w="1728"/>
          </w:tcPr>
          <w:p>
            <w:r>
              <w:rPr>
                <w:rFonts w:ascii="Calibri" w:hAnsi="Calibri"/>
                <w:sz w:val="22"/>
              </w:rPr>
              <w:t>In-Line</w:t>
            </w:r>
          </w:p>
        </w:tc>
      </w:tr>
      <w:tr>
        <w:tc>
          <w:tcPr>
            <w:tcW w:type="dxa" w:w="1728"/>
          </w:tcPr>
          <w:p>
            <w:r>
              <w:rPr>
                <w:rFonts w:ascii="Calibri" w:hAnsi="Calibri"/>
                <w:sz w:val="22"/>
              </w:rPr>
              <w:t>Q4 2024</w:t>
            </w:r>
          </w:p>
        </w:tc>
        <w:tc>
          <w:tcPr>
            <w:tcW w:type="dxa" w:w="1728"/>
          </w:tcPr>
          <w:p>
            <w:r>
              <w:rPr>
                <w:rFonts w:ascii="Calibri" w:hAnsi="Calibri"/>
                <w:sz w:val="22"/>
              </w:rPr>
              <w:t>$1.56</w:t>
            </w:r>
          </w:p>
        </w:tc>
        <w:tc>
          <w:tcPr>
            <w:tcW w:type="dxa" w:w="1728"/>
          </w:tcPr>
          <w:p>
            <w:r>
              <w:rPr>
                <w:rFonts w:ascii="Calibri" w:hAnsi="Calibri"/>
                <w:sz w:val="22"/>
              </w:rPr>
              <w:t>$1.62</w:t>
            </w:r>
          </w:p>
        </w:tc>
        <w:tc>
          <w:tcPr>
            <w:tcW w:type="dxa" w:w="1728"/>
          </w:tcPr>
          <w:p>
            <w:r>
              <w:rPr>
                <w:rFonts w:ascii="Calibri" w:hAnsi="Calibri"/>
                <w:b/>
                <w:color w:val="E5484D"/>
                <w:sz w:val="22"/>
              </w:rPr>
              <w:t>−3.7%</w:t>
            </w:r>
          </w:p>
        </w:tc>
        <w:tc>
          <w:tcPr>
            <w:tcW w:type="dxa" w:w="1728"/>
          </w:tcPr>
          <w:p>
            <w:r>
              <w:rPr>
                <w:rFonts w:ascii="Calibri" w:hAnsi="Calibri"/>
                <w:sz w:val="22"/>
              </w:rPr>
              <w:t>Miss</w:t>
            </w:r>
          </w:p>
        </w:tc>
      </w:tr>
      <w:tr>
        <w:tc>
          <w:tcPr>
            <w:tcW w:type="dxa" w:w="1728"/>
          </w:tcPr>
          <w:p>
            <w:r>
              <w:rPr>
                <w:rFonts w:ascii="Calibri" w:hAnsi="Calibri"/>
                <w:sz w:val="22"/>
              </w:rPr>
              <w:t>Q3 2024</w:t>
            </w:r>
          </w:p>
        </w:tc>
        <w:tc>
          <w:tcPr>
            <w:tcW w:type="dxa" w:w="1728"/>
          </w:tcPr>
          <w:p>
            <w:r>
              <w:rPr>
                <w:rFonts w:ascii="Calibri" w:hAnsi="Calibri"/>
                <w:sz w:val="22"/>
              </w:rPr>
              <w:t>$2.16</w:t>
            </w:r>
          </w:p>
        </w:tc>
        <w:tc>
          <w:tcPr>
            <w:tcW w:type="dxa" w:w="1728"/>
          </w:tcPr>
          <w:p>
            <w:r>
              <w:rPr>
                <w:rFonts w:ascii="Calibri" w:hAnsi="Calibri"/>
                <w:sz w:val="22"/>
              </w:rPr>
              <w:t>$1.69</w:t>
            </w:r>
          </w:p>
        </w:tc>
        <w:tc>
          <w:tcPr>
            <w:tcW w:type="dxa" w:w="1728"/>
          </w:tcPr>
          <w:p>
            <w:r>
              <w:rPr>
                <w:rFonts w:ascii="Calibri" w:hAnsi="Calibri"/>
                <w:b/>
                <w:color w:val="30A46C"/>
                <w:sz w:val="22"/>
              </w:rPr>
              <w:t>+27.8%</w:t>
            </w:r>
          </w:p>
        </w:tc>
        <w:tc>
          <w:tcPr>
            <w:tcW w:type="dxa" w:w="1728"/>
          </w:tcPr>
          <w:p>
            <w:r>
              <w:rPr>
                <w:rFonts w:ascii="Calibri" w:hAnsi="Calibri"/>
                <w:sz w:val="22"/>
              </w:rPr>
              <w:t>Beat (assumption unlock)</w:t>
            </w:r>
          </w:p>
        </w:tc>
      </w:tr>
      <w:tr>
        <w:tc>
          <w:tcPr>
            <w:tcW w:type="dxa" w:w="1728"/>
          </w:tcPr>
          <w:p>
            <w:r>
              <w:rPr>
                <w:rFonts w:ascii="Calibri" w:hAnsi="Calibri"/>
                <w:sz w:val="22"/>
              </w:rPr>
              <w:t>Q2 2024</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3"/>
      </w:pPr>
      <w:r>
        <w:rPr>
          <w:rFonts w:ascii="Calibri" w:hAnsi="Calibri"/>
          <w:b/>
          <w:color w:val="3B4259"/>
          <w:sz w:val="24"/>
        </w:rPr>
        <w:t>Japan New Premiums (¥B)</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¥17.7B</w:t>
            </w:r>
          </w:p>
        </w:tc>
        <w:tc>
          <w:tcPr>
            <w:tcW w:type="dxa" w:w="1728"/>
          </w:tcPr>
          <w:p>
            <w:r>
              <w:rPr>
                <w:rFonts w:ascii="Calibri" w:hAnsi="Calibri"/>
                <w:sz w:val="22"/>
              </w:rPr>
              <w:t>¥17.3B</w:t>
            </w:r>
          </w:p>
        </w:tc>
        <w:tc>
          <w:tcPr>
            <w:tcW w:type="dxa" w:w="1728"/>
          </w:tcPr>
          <w:p>
            <w:r>
              <w:rPr>
                <w:rFonts w:ascii="Calibri" w:hAnsi="Calibri"/>
                <w:b/>
                <w:color w:val="30A46C"/>
                <w:sz w:val="22"/>
              </w:rPr>
              <w:t>+2.3%</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¥19.9B</w:t>
            </w:r>
          </w:p>
        </w:tc>
        <w:tc>
          <w:tcPr>
            <w:tcW w:type="dxa" w:w="1728"/>
          </w:tcPr>
          <w:p>
            <w:r>
              <w:rPr>
                <w:rFonts w:ascii="Calibri" w:hAnsi="Calibri"/>
                <w:sz w:val="22"/>
              </w:rPr>
              <w:t>¥18.4B</w:t>
            </w:r>
          </w:p>
        </w:tc>
        <w:tc>
          <w:tcPr>
            <w:tcW w:type="dxa" w:w="1728"/>
          </w:tcPr>
          <w:p>
            <w:r>
              <w:rPr>
                <w:rFonts w:ascii="Calibri" w:hAnsi="Calibri"/>
                <w:b/>
                <w:color w:val="30A46C"/>
                <w:sz w:val="22"/>
              </w:rPr>
              <w:t>+8.2%</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¥19.6B</w:t>
            </w:r>
          </w:p>
        </w:tc>
        <w:tc>
          <w:tcPr>
            <w:tcW w:type="dxa" w:w="1728"/>
          </w:tcPr>
          <w:p>
            <w:r>
              <w:rPr>
                <w:rFonts w:ascii="Calibri" w:hAnsi="Calibri"/>
                <w:sz w:val="22"/>
              </w:rPr>
              <w:t>¥18.6B</w:t>
            </w:r>
          </w:p>
        </w:tc>
        <w:tc>
          <w:tcPr>
            <w:tcW w:type="dxa" w:w="1728"/>
          </w:tcPr>
          <w:p>
            <w:r>
              <w:rPr>
                <w:rFonts w:ascii="Calibri" w:hAnsi="Calibri"/>
                <w:b/>
                <w:color w:val="30A46C"/>
                <w:sz w:val="22"/>
              </w:rPr>
              <w:t>+5.4%</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¥20.7B</w:t>
            </w:r>
          </w:p>
        </w:tc>
        <w:tc>
          <w:tcPr>
            <w:tcW w:type="dxa" w:w="1728"/>
          </w:tcPr>
          <w:p>
            <w:r>
              <w:rPr>
                <w:rFonts w:ascii="Calibri" w:hAnsi="Calibri"/>
                <w:sz w:val="22"/>
              </w:rPr>
              <w:t>¥17.7B</w:t>
            </w:r>
          </w:p>
        </w:tc>
        <w:tc>
          <w:tcPr>
            <w:tcW w:type="dxa" w:w="1728"/>
          </w:tcPr>
          <w:p>
            <w:r>
              <w:rPr>
                <w:rFonts w:ascii="Calibri" w:hAnsi="Calibri"/>
                <w:b/>
                <w:color w:val="30A46C"/>
                <w:sz w:val="22"/>
              </w:rPr>
              <w:t>+16.9%</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¥14.1B</w:t>
            </w:r>
          </w:p>
        </w:tc>
        <w:tc>
          <w:tcPr>
            <w:tcW w:type="dxa" w:w="1728"/>
          </w:tcPr>
          <w:p>
            <w:r>
              <w:rPr>
                <w:rFonts w:ascii="Calibri" w:hAnsi="Calibri"/>
                <w:sz w:val="22"/>
              </w:rPr>
              <w:t>¥14.9B</w:t>
            </w:r>
          </w:p>
        </w:tc>
        <w:tc>
          <w:tcPr>
            <w:tcW w:type="dxa" w:w="1728"/>
          </w:tcPr>
          <w:p>
            <w:r>
              <w:rPr>
                <w:rFonts w:ascii="Calibri" w:hAnsi="Calibri"/>
                <w:b/>
                <w:color w:val="E5484D"/>
                <w:sz w:val="22"/>
              </w:rPr>
              <w:t>−5.4%</w:t>
            </w:r>
          </w:p>
        </w:tc>
        <w:tc>
          <w:tcPr>
            <w:tcW w:type="dxa" w:w="1728"/>
          </w:tcPr>
          <w:p>
            <w:r>
              <w:rPr>
                <w:rFonts w:ascii="Calibri" w:hAnsi="Calibri"/>
                <w:sz w:val="22"/>
              </w:rPr>
              <w:t>Miss</w:t>
            </w:r>
          </w:p>
        </w:tc>
      </w:tr>
      <w:tr>
        <w:tc>
          <w:tcPr>
            <w:tcW w:type="dxa" w:w="1728"/>
          </w:tcPr>
          <w:p>
            <w:r>
              <w:rPr>
                <w:rFonts w:ascii="Calibri" w:hAnsi="Calibri"/>
                <w:sz w:val="22"/>
              </w:rPr>
              <w:t>Q4 2024</w:t>
            </w:r>
          </w:p>
        </w:tc>
        <w:tc>
          <w:tcPr>
            <w:tcW w:type="dxa" w:w="1728"/>
          </w:tcPr>
          <w:p>
            <w:r>
              <w:rPr>
                <w:rFonts w:ascii="Calibri" w:hAnsi="Calibri"/>
                <w:sz w:val="22"/>
              </w:rPr>
              <w:t>¥17.2B</w:t>
            </w:r>
          </w:p>
        </w:tc>
        <w:tc>
          <w:tcPr>
            <w:tcW w:type="dxa" w:w="1728"/>
          </w:tcPr>
          <w:p>
            <w:r>
              <w:rPr>
                <w:rFonts w:ascii="Calibri" w:hAnsi="Calibri"/>
                <w:sz w:val="22"/>
              </w:rPr>
              <w:t>¥18.4B</w:t>
            </w:r>
          </w:p>
        </w:tc>
        <w:tc>
          <w:tcPr>
            <w:tcW w:type="dxa" w:w="1728"/>
          </w:tcPr>
          <w:p>
            <w:r>
              <w:rPr>
                <w:rFonts w:ascii="Calibri" w:hAnsi="Calibri"/>
                <w:b/>
                <w:color w:val="E5484D"/>
                <w:sz w:val="22"/>
              </w:rPr>
              <w:t>−6.5%</w:t>
            </w:r>
          </w:p>
        </w:tc>
        <w:tc>
          <w:tcPr>
            <w:tcW w:type="dxa" w:w="1728"/>
          </w:tcPr>
          <w:p>
            <w:r>
              <w:rPr>
                <w:rFonts w:ascii="Calibri" w:hAnsi="Calibri"/>
                <w:sz w:val="22"/>
              </w:rPr>
              <w:t>Miss</w:t>
            </w:r>
          </w:p>
        </w:tc>
      </w:tr>
      <w:tr>
        <w:tc>
          <w:tcPr>
            <w:tcW w:type="dxa" w:w="1728"/>
          </w:tcPr>
          <w:p>
            <w:r>
              <w:rPr>
                <w:rFonts w:ascii="Calibri" w:hAnsi="Calibri"/>
                <w:sz w:val="22"/>
              </w:rPr>
              <w:t>Q3 2024</w:t>
            </w:r>
          </w:p>
        </w:tc>
        <w:tc>
          <w:tcPr>
            <w:tcW w:type="dxa" w:w="1728"/>
          </w:tcPr>
          <w:p>
            <w:r>
              <w:rPr>
                <w:rFonts w:ascii="Calibri" w:hAnsi="Calibri"/>
                <w:sz w:val="22"/>
              </w:rPr>
              <w:t>¥17.5B</w:t>
            </w:r>
          </w:p>
        </w:tc>
        <w:tc>
          <w:tcPr>
            <w:tcW w:type="dxa" w:w="1728"/>
          </w:tcPr>
          <w:p>
            <w:r>
              <w:rPr>
                <w:rFonts w:ascii="Calibri" w:hAnsi="Calibri"/>
                <w:sz w:val="22"/>
              </w:rPr>
              <w:t>¥17.2B</w:t>
            </w:r>
          </w:p>
        </w:tc>
        <w:tc>
          <w:tcPr>
            <w:tcW w:type="dxa" w:w="1728"/>
          </w:tcPr>
          <w:p>
            <w:r>
              <w:rPr>
                <w:rFonts w:ascii="Calibri" w:hAnsi="Calibri"/>
                <w:b/>
                <w:color w:val="30A46C"/>
                <w:sz w:val="22"/>
              </w:rPr>
              <w:t>+1.7%</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Japan new premiums have beaten consensus in 5 of the last 7 reported quarters, reflecting sustained Miraito cancer product momentum — the bar for Q2 is set at ¥20.96B, which would represent a modest +1.3% YoY increase against a strong prior-year comp (¥20.7B). Adjusted EPS has been volatile due to assumption unlocks in Q3 of each year; stripping those out, the underlying trend shows modest misses in Q4 and Q1 periods, suggesting the Q2 bar of $1.77 is achievable but not a layup.</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Guidance has been stable-to-constructive since the Q1 2026 call — no formal revisions have been issued via 8-K or conference — but management's informal Japan sales target of ~¥80B for FY 2026 (raised from the prior year's ¥74B) and reaffirmed benefit ratio ranges signal confidence heading into Q2.</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Call,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Japan Benefit Ratio (FY 2026)</w:t>
            </w:r>
          </w:p>
        </w:tc>
        <w:tc>
          <w:tcPr>
            <w:tcW w:type="dxa" w:w="1728"/>
          </w:tcPr>
          <w:p>
            <w:r>
              <w:rPr>
                <w:rFonts w:ascii="Calibri" w:hAnsi="Calibri"/>
                <w:sz w:val="22"/>
              </w:rPr>
              <w:t>60%–63%</w:t>
            </w:r>
          </w:p>
        </w:tc>
        <w:tc>
          <w:tcPr>
            <w:tcW w:type="dxa" w:w="1728"/>
          </w:tcPr>
          <w:p>
            <w:r>
              <w:rPr>
                <w:rFonts w:ascii="Calibri" w:hAnsi="Calibri"/>
                <w:sz w:val="22"/>
              </w:rPr>
              <w:t>—</w:t>
            </w:r>
          </w:p>
        </w:tc>
        <w:tc>
          <w:tcPr>
            <w:tcW w:type="dxa" w:w="1728"/>
          </w:tcPr>
          <w:p>
            <w:r>
              <w:rPr>
                <w:rFonts w:ascii="Calibri" w:hAnsi="Calibri"/>
                <w:sz w:val="22"/>
              </w:rPr>
              <w:t>~61.8% (Q2 est.)</w:t>
            </w:r>
          </w:p>
        </w:tc>
        <w:tc>
          <w:tcPr>
            <w:tcW w:type="dxa" w:w="1728"/>
          </w:tcPr>
          <w:p>
            <w:r>
              <w:rPr>
                <w:rFonts w:ascii="Calibri" w:hAnsi="Calibri"/>
                <w:sz w:val="22"/>
              </w:rPr>
              <w:t>Reaffirmed on Q1 call; no post-earnings update. Consensus sits comfortably within range.</w:t>
            </w:r>
          </w:p>
        </w:tc>
      </w:tr>
      <w:tr>
        <w:tc>
          <w:tcPr>
            <w:tcW w:type="dxa" w:w="1728"/>
          </w:tcPr>
          <w:p>
            <w:r>
              <w:rPr>
                <w:rFonts w:ascii="Calibri" w:hAnsi="Calibri"/>
                <w:sz w:val="22"/>
              </w:rPr>
              <w:t>U.S. Benefit Ratio (FY 2026)</w:t>
            </w:r>
          </w:p>
        </w:tc>
        <w:tc>
          <w:tcPr>
            <w:tcW w:type="dxa" w:w="1728"/>
          </w:tcPr>
          <w:p>
            <w:r>
              <w:rPr>
                <w:rFonts w:ascii="Calibri" w:hAnsi="Calibri"/>
                <w:sz w:val="22"/>
              </w:rPr>
              <w:t>48%–52%</w:t>
            </w:r>
          </w:p>
        </w:tc>
        <w:tc>
          <w:tcPr>
            <w:tcW w:type="dxa" w:w="1728"/>
          </w:tcPr>
          <w:p>
            <w:r>
              <w:rPr>
                <w:rFonts w:ascii="Calibri" w:hAnsi="Calibri"/>
                <w:sz w:val="22"/>
              </w:rPr>
              <w:t>—</w:t>
            </w:r>
          </w:p>
        </w:tc>
        <w:tc>
          <w:tcPr>
            <w:tcW w:type="dxa" w:w="1728"/>
          </w:tcPr>
          <w:p>
            <w:r>
              <w:rPr>
                <w:rFonts w:ascii="Calibri" w:hAnsi="Calibri"/>
                <w:sz w:val="22"/>
              </w:rPr>
              <w:t>~48.9% (Q2 est.)</w:t>
            </w:r>
          </w:p>
        </w:tc>
        <w:tc>
          <w:tcPr>
            <w:tcW w:type="dxa" w:w="1728"/>
          </w:tcPr>
          <w:p>
            <w:r>
              <w:rPr>
                <w:rFonts w:ascii="Calibri" w:hAnsi="Calibri"/>
                <w:sz w:val="22"/>
              </w:rPr>
              <w:t>Reaffirmed on Q1 call; Q1 benefited ~80 bps above plan from remeasurement gains. Consensus at low end of range.</w:t>
            </w:r>
          </w:p>
        </w:tc>
      </w:tr>
      <w:tr>
        <w:tc>
          <w:tcPr>
            <w:tcW w:type="dxa" w:w="1728"/>
          </w:tcPr>
          <w:p>
            <w:r>
              <w:rPr>
                <w:rFonts w:ascii="Calibri" w:hAnsi="Calibri"/>
                <w:sz w:val="22"/>
              </w:rPr>
              <w:t>Japan FY 2026 New Premiums</w:t>
            </w:r>
          </w:p>
        </w:tc>
        <w:tc>
          <w:tcPr>
            <w:tcW w:type="dxa" w:w="1728"/>
          </w:tcPr>
          <w:p>
            <w:r>
              <w:rPr>
                <w:rFonts w:ascii="Calibri" w:hAnsi="Calibri"/>
                <w:sz w:val="22"/>
              </w:rPr>
              <w:t>~¥80B (informal target, raised from ¥74B prior year)</w:t>
            </w:r>
          </w:p>
        </w:tc>
        <w:tc>
          <w:tcPr>
            <w:tcW w:type="dxa" w:w="1728"/>
          </w:tcPr>
          <w:p>
            <w:r>
              <w:rPr>
                <w:rFonts w:ascii="Calibri" w:hAnsi="Calibri"/>
                <w:sz w:val="22"/>
              </w:rPr>
              <w:t>—</w:t>
            </w:r>
          </w:p>
        </w:tc>
        <w:tc>
          <w:tcPr>
            <w:tcW w:type="dxa" w:w="1728"/>
          </w:tcPr>
          <w:p>
            <w:r>
              <w:rPr>
                <w:rFonts w:ascii="Calibri" w:hAnsi="Calibri"/>
                <w:sz w:val="22"/>
              </w:rPr>
              <w:t>¥79.0B (FY consensus)</w:t>
            </w:r>
          </w:p>
        </w:tc>
        <w:tc>
          <w:tcPr>
            <w:tcW w:type="dxa" w:w="1728"/>
          </w:tcPr>
          <w:p>
            <w:r>
              <w:rPr>
                <w:rFonts w:ascii="Calibri" w:hAnsi="Calibri"/>
                <w:sz w:val="22"/>
              </w:rPr>
              <w:t>CEO stated “closer to ¥80 billion” on Q1 call; consensus slightly below at ¥79.0B. No post-earnings formal revision.</w:t>
            </w:r>
          </w:p>
        </w:tc>
      </w:tr>
      <w:tr>
        <w:tc>
          <w:tcPr>
            <w:tcW w:type="dxa" w:w="1728"/>
          </w:tcPr>
          <w:p>
            <w:r>
              <w:rPr>
                <w:rFonts w:ascii="Calibri" w:hAnsi="Calibri"/>
                <w:sz w:val="22"/>
              </w:rPr>
              <w:t>Japan Underlying Earned Premium Growth (FY 2026)</w:t>
            </w:r>
          </w:p>
        </w:tc>
        <w:tc>
          <w:tcPr>
            <w:tcW w:type="dxa" w:w="1728"/>
          </w:tcPr>
          <w:p>
            <w:r>
              <w:rPr>
                <w:rFonts w:ascii="Calibri" w:hAnsi="Calibri"/>
                <w:sz w:val="22"/>
              </w:rPr>
              <w:t>−1% to −2% (underlying, FX-neutral)</w:t>
            </w:r>
          </w:p>
        </w:tc>
        <w:tc>
          <w:tcPr>
            <w:tcW w:type="dxa" w:w="1728"/>
          </w:tcPr>
          <w:p>
            <w:r>
              <w:rPr>
                <w:rFonts w:ascii="Calibri" w:hAnsi="Calibri"/>
                <w:sz w:val="22"/>
              </w:rPr>
              <w:t>—</w:t>
            </w:r>
          </w:p>
        </w:tc>
        <w:tc>
          <w:tcPr>
            <w:tcW w:type="dxa" w:w="1728"/>
          </w:tcPr>
          <w:p>
            <w:r>
              <w:rPr>
                <w:rFonts w:ascii="Calibri" w:hAnsi="Calibri"/>
                <w:sz w:val="22"/>
              </w:rPr>
              <w:t>Consistent with guidance</w:t>
            </w:r>
          </w:p>
        </w:tc>
        <w:tc>
          <w:tcPr>
            <w:tcW w:type="dxa" w:w="1728"/>
          </w:tcPr>
          <w:p>
            <w:r>
              <w:rPr>
                <w:rFonts w:ascii="Calibri" w:hAnsi="Calibri"/>
                <w:sz w:val="22"/>
              </w:rPr>
              <w:t>CFO noted ~¥90B annual sales needed for flat earned premium; current trajectory implies continued modest decline.</w:t>
            </w:r>
          </w:p>
        </w:tc>
      </w:tr>
      <w:tr>
        <w:tc>
          <w:tcPr>
            <w:tcW w:type="dxa" w:w="1728"/>
          </w:tcPr>
          <w:p>
            <w:r>
              <w:rPr>
                <w:rFonts w:ascii="Calibri" w:hAnsi="Calibri"/>
                <w:sz w:val="22"/>
              </w:rPr>
              <w:t>External Reinsurance Earnings Impact (Q2–Q3 2026)</w:t>
            </w:r>
          </w:p>
        </w:tc>
        <w:tc>
          <w:tcPr>
            <w:tcW w:type="dxa" w:w="1728"/>
          </w:tcPr>
          <w:p>
            <w:r>
              <w:rPr>
                <w:rFonts w:ascii="Calibri" w:hAnsi="Calibri"/>
                <w:sz w:val="22"/>
              </w:rPr>
              <w:t>Mid-single-digit USD million negative per quarter for next couple of quarters, then trending to zero</w:t>
            </w:r>
          </w:p>
        </w:tc>
        <w:tc>
          <w:tcPr>
            <w:tcW w:type="dxa" w:w="1728"/>
          </w:tcPr>
          <w:p>
            <w:r>
              <w:rPr>
                <w:rFonts w:ascii="Calibri" w:hAnsi="Calibri"/>
                <w:sz w:val="22"/>
              </w:rPr>
              <w:t>—</w:t>
            </w:r>
          </w:p>
        </w:tc>
        <w:tc>
          <w:tcPr>
            <w:tcW w:type="dxa" w:w="1728"/>
          </w:tcPr>
          <w:p>
            <w:r>
              <w:rPr>
                <w:rFonts w:ascii="Calibri" w:hAnsi="Calibri"/>
                <w:sz w:val="22"/>
              </w:rPr>
              <w:t>Embedded in estimates</w:t>
            </w:r>
          </w:p>
        </w:tc>
        <w:tc>
          <w:tcPr>
            <w:tcW w:type="dxa" w:w="1728"/>
          </w:tcPr>
          <w:p>
            <w:r>
              <w:rPr>
                <w:rFonts w:ascii="Calibri" w:hAnsi="Calibri"/>
                <w:sz w:val="22"/>
              </w:rPr>
              <w:t>New guidance provided on Q1 call for Japan Post Insurance reinsurance transaction. Q2 will be second quarter of drag.</w:t>
            </w:r>
          </w:p>
        </w:tc>
      </w:tr>
      <w:tr>
        <w:tc>
          <w:tcPr>
            <w:tcW w:type="dxa" w:w="1728"/>
          </w:tcPr>
          <w:p>
            <w:r>
              <w:rPr>
                <w:rFonts w:ascii="Calibri" w:hAnsi="Calibri"/>
                <w:sz w:val="22"/>
              </w:rPr>
              <w:t>Capital Return / Share Repurchases</w:t>
            </w:r>
          </w:p>
        </w:tc>
        <w:tc>
          <w:tcPr>
            <w:tcW w:type="dxa" w:w="1728"/>
          </w:tcPr>
          <w:p>
            <w:r>
              <w:rPr>
                <w:rFonts w:ascii="Calibri" w:hAnsi="Calibri"/>
                <w:sz w:val="22"/>
              </w:rPr>
              <w:t>Continued at pace of recent quarters; ~$1B/quarter buybacks; 43 consecutive years of dividend increases</w:t>
            </w:r>
          </w:p>
        </w:tc>
        <w:tc>
          <w:tcPr>
            <w:tcW w:type="dxa" w:w="1728"/>
          </w:tcPr>
          <w:p>
            <w:r>
              <w:rPr>
                <w:rFonts w:ascii="Calibri" w:hAnsi="Calibri"/>
                <w:sz w:val="22"/>
              </w:rPr>
              <w:t>—</w:t>
            </w:r>
          </w:p>
        </w:tc>
        <w:tc>
          <w:tcPr>
            <w:tcW w:type="dxa" w:w="1728"/>
          </w:tcPr>
          <w:p>
            <w:r>
              <w:rPr>
                <w:rFonts w:ascii="Calibri" w:hAnsi="Calibri"/>
                <w:sz w:val="22"/>
              </w:rPr>
              <w:t>Consistent with guidance</w:t>
            </w:r>
          </w:p>
        </w:tc>
        <w:tc>
          <w:tcPr>
            <w:tcW w:type="dxa" w:w="1728"/>
          </w:tcPr>
          <w:p>
            <w:r>
              <w:rPr>
                <w:rFonts w:ascii="Calibri" w:hAnsi="Calibri"/>
                <w:sz w:val="22"/>
              </w:rPr>
              <w:t>CFO confirmed reinsurance strategy will not displace shareholder returns. No leverage increase planned.</w:t>
            </w:r>
          </w:p>
        </w:tc>
      </w:tr>
    </w:tbl>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adjusted EPS have drifted ~−1.1% lower since the Q1 print baseline (~$1.785 → ~$1.765), consistent with the modest reinsurance drag and FX headwinds; FY 2026 estimates are similarly down ~−0.5%, suggesting the market has absorbed the Q1 miss and reinsurance news without a more severe de-rating. The gap between consensus and management's informal ¥80B Japan sales target is the key divergence to watch.</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6, 2026)</w:t>
            </w:r>
          </w:p>
        </w:tc>
        <w:tc>
          <w:tcPr>
            <w:tcW w:type="dxa" w:w="1080"/>
            <w:shd w:val="clear" w:color="auto" w:fill="3B4259"/>
          </w:tcPr>
          <w:p>
            <w:r>
              <w:rPr>
                <w:rFonts w:ascii="Calibri" w:hAnsi="Calibri"/>
                <w:b/>
                <w:color w:val="FFFFFF"/>
                <w:sz w:val="22"/>
              </w:rPr>
              <w:t>Current Consensus (Aug 5,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$1.785</w:t>
            </w:r>
          </w:p>
        </w:tc>
        <w:tc>
          <w:tcPr>
            <w:tcW w:type="dxa" w:w="1080"/>
          </w:tcPr>
          <w:p>
            <w:r>
              <w:rPr>
                <w:rFonts w:ascii="Calibri" w:hAnsi="Calibri"/>
                <w:sz w:val="22"/>
              </w:rPr>
              <w:t>$1.765</w:t>
            </w:r>
          </w:p>
        </w:tc>
        <w:tc>
          <w:tcPr>
            <w:tcW w:type="dxa" w:w="1080"/>
          </w:tcPr>
          <w:p>
            <w:r>
              <w:rPr>
                <w:rFonts w:ascii="Calibri" w:hAnsi="Calibri"/>
                <w:sz w:val="22"/>
              </w:rPr>
              <w:t>−1.1%</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FY 2026</w:t>
            </w:r>
          </w:p>
        </w:tc>
        <w:tc>
          <w:tcPr>
            <w:tcW w:type="dxa" w:w="1080"/>
          </w:tcPr>
          <w:p>
            <w:r>
              <w:rPr>
                <w:rFonts w:ascii="Calibri" w:hAnsi="Calibri"/>
                <w:sz w:val="22"/>
              </w:rPr>
              <w:t>$7.075</w:t>
            </w:r>
          </w:p>
        </w:tc>
        <w:tc>
          <w:tcPr>
            <w:tcW w:type="dxa" w:w="1080"/>
          </w:tcPr>
          <w:p>
            <w:r>
              <w:rPr>
                <w:rFonts w:ascii="Calibri" w:hAnsi="Calibri"/>
                <w:sz w:val="22"/>
              </w:rPr>
              <w:t>$7.042</w:t>
            </w:r>
          </w:p>
        </w:tc>
        <w:tc>
          <w:tcPr>
            <w:tcW w:type="dxa" w:w="1080"/>
          </w:tcPr>
          <w:p>
            <w:r>
              <w:rPr>
                <w:rFonts w:ascii="Calibri" w:hAnsi="Calibri"/>
                <w:sz w:val="22"/>
              </w:rPr>
              <w:t>−0.5%</w:t>
            </w:r>
          </w:p>
        </w:tc>
        <w:tc>
          <w:tcPr>
            <w:tcW w:type="dxa" w:w="1080"/>
          </w:tcPr>
          <w:p>
            <w:r>
              <w:rPr>
                <w:rFonts w:ascii="Calibri" w:hAnsi="Calibri"/>
                <w:sz w:val="22"/>
              </w:rPr>
              <w:t>No formal FY EPS guidance</w:t>
            </w:r>
          </w:p>
        </w:tc>
        <w:tc>
          <w:tcPr>
            <w:tcW w:type="dxa" w:w="1080"/>
          </w:tcPr>
          <w:p>
            <w:r>
              <w:rPr>
                <w:rFonts w:ascii="Calibri" w:hAnsi="Calibri"/>
                <w:sz w:val="22"/>
              </w:rPr>
              <w:t>No formal FY EPS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Japan New Premiums — Q2 2026 (¥B)</w:t>
            </w:r>
          </w:p>
        </w:tc>
        <w:tc>
          <w:tcPr>
            <w:tcW w:type="dxa" w:w="1080"/>
          </w:tcPr>
          <w:p>
            <w:r>
              <w:rPr>
                <w:rFonts w:ascii="Calibri" w:hAnsi="Calibri"/>
                <w:sz w:val="22"/>
              </w:rPr>
              <w:t>¥21.0B</w:t>
            </w:r>
          </w:p>
        </w:tc>
        <w:tc>
          <w:tcPr>
            <w:tcW w:type="dxa" w:w="1080"/>
          </w:tcPr>
          <w:p>
            <w:r>
              <w:rPr>
                <w:rFonts w:ascii="Calibri" w:hAnsi="Calibri"/>
                <w:sz w:val="22"/>
              </w:rPr>
              <w:t>¥20.96B</w:t>
            </w:r>
          </w:p>
        </w:tc>
        <w:tc>
          <w:tcPr>
            <w:tcW w:type="dxa" w:w="1080"/>
          </w:tcPr>
          <w:p>
            <w:r>
              <w:rPr>
                <w:rFonts w:ascii="Calibri" w:hAnsi="Calibri"/>
                <w:sz w:val="22"/>
              </w:rPr>
              <w:t>−0.2%</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Japan New Premiums — FY 2026 (¥B)</w:t>
            </w:r>
          </w:p>
        </w:tc>
        <w:tc>
          <w:tcPr>
            <w:tcW w:type="dxa" w:w="1080"/>
          </w:tcPr>
          <w:p>
            <w:r>
              <w:rPr>
                <w:rFonts w:ascii="Calibri" w:hAnsi="Calibri"/>
                <w:sz w:val="22"/>
              </w:rPr>
              <w:t>¥79.2B</w:t>
            </w:r>
          </w:p>
        </w:tc>
        <w:tc>
          <w:tcPr>
            <w:tcW w:type="dxa" w:w="1080"/>
          </w:tcPr>
          <w:p>
            <w:r>
              <w:rPr>
                <w:rFonts w:ascii="Calibri" w:hAnsi="Calibri"/>
                <w:sz w:val="22"/>
              </w:rPr>
              <w:t>¥79.0B</w:t>
            </w:r>
          </w:p>
        </w:tc>
        <w:tc>
          <w:tcPr>
            <w:tcW w:type="dxa" w:w="1080"/>
          </w:tcPr>
          <w:p>
            <w:r>
              <w:rPr>
                <w:rFonts w:ascii="Calibri" w:hAnsi="Calibri"/>
                <w:sz w:val="22"/>
              </w:rPr>
              <w:t>−0.3%</w:t>
            </w:r>
          </w:p>
        </w:tc>
        <w:tc>
          <w:tcPr>
            <w:tcW w:type="dxa" w:w="1080"/>
          </w:tcPr>
          <w:p>
            <w:r>
              <w:rPr>
                <w:rFonts w:ascii="Calibri" w:hAnsi="Calibri"/>
                <w:sz w:val="22"/>
              </w:rPr>
              <w:t>~¥80B (informal mgmt target)</w:t>
            </w:r>
          </w:p>
        </w:tc>
        <w:tc>
          <w:tcPr>
            <w:tcW w:type="dxa" w:w="1080"/>
          </w:tcPr>
          <w:p>
            <w:r>
              <w:rPr>
                <w:rFonts w:ascii="Calibri" w:hAnsi="Calibri"/>
                <w:sz w:val="22"/>
              </w:rPr>
              <w:t>~¥80B (unchanged)</w:t>
            </w:r>
          </w:p>
        </w:tc>
        <w:tc>
          <w:tcPr>
            <w:tcW w:type="dxa" w:w="1080"/>
          </w:tcPr>
          <w:p>
            <w:r>
              <w:rPr>
                <w:rFonts w:ascii="Calibri" w:hAnsi="Calibri"/>
                <w:sz w:val="22"/>
              </w:rPr>
              <w:t>Unchanged</w:t>
            </w:r>
          </w:p>
        </w:tc>
        <w:tc>
          <w:tcPr>
            <w:tcW w:type="dxa" w:w="1080"/>
          </w:tcPr>
          <w:p>
            <w:r>
              <w:rPr>
                <w:rFonts w:ascii="Calibri" w:hAnsi="Calibri"/>
                <w:sz w:val="22"/>
              </w:rPr>
              <w:t>−1.3% below mgmt target</w:t>
            </w:r>
          </w:p>
        </w:tc>
      </w:tr>
      <w:tr>
        <w:tc>
          <w:tcPr>
            <w:tcW w:type="dxa" w:w="1080"/>
          </w:tcPr>
          <w:p>
            <w:r>
              <w:rPr>
                <w:rFonts w:ascii="Calibri" w:hAnsi="Calibri"/>
                <w:sz w:val="22"/>
              </w:rPr>
              <w:t>Japan Benefit Ratio — Q2 2026 (%)</w:t>
            </w:r>
          </w:p>
        </w:tc>
        <w:tc>
          <w:tcPr>
            <w:tcW w:type="dxa" w:w="1080"/>
          </w:tcPr>
          <w:p>
            <w:r>
              <w:rPr>
                <w:rFonts w:ascii="Calibri" w:hAnsi="Calibri"/>
                <w:sz w:val="22"/>
              </w:rPr>
              <w:t>62.1%</w:t>
            </w:r>
          </w:p>
        </w:tc>
        <w:tc>
          <w:tcPr>
            <w:tcW w:type="dxa" w:w="1080"/>
          </w:tcPr>
          <w:p>
            <w:r>
              <w:rPr>
                <w:rFonts w:ascii="Calibri" w:hAnsi="Calibri"/>
                <w:sz w:val="22"/>
              </w:rPr>
              <w:t>61.8%</w:t>
            </w:r>
          </w:p>
        </w:tc>
        <w:tc>
          <w:tcPr>
            <w:tcW w:type="dxa" w:w="1080"/>
          </w:tcPr>
          <w:p>
            <w:r>
              <w:rPr>
                <w:rFonts w:ascii="Calibri" w:hAnsi="Calibri"/>
                <w:sz w:val="22"/>
              </w:rPr>
              <w:t>−30 bps</w:t>
            </w:r>
          </w:p>
        </w:tc>
        <w:tc>
          <w:tcPr>
            <w:tcW w:type="dxa" w:w="1080"/>
          </w:tcPr>
          <w:p>
            <w:r>
              <w:rPr>
                <w:rFonts w:ascii="Calibri" w:hAnsi="Calibri"/>
                <w:sz w:val="22"/>
              </w:rPr>
              <w:t>60%–63% FY range</w:t>
            </w:r>
          </w:p>
        </w:tc>
        <w:tc>
          <w:tcPr>
            <w:tcW w:type="dxa" w:w="1080"/>
          </w:tcPr>
          <w:p>
            <w:r>
              <w:rPr>
                <w:rFonts w:ascii="Calibri" w:hAnsi="Calibri"/>
                <w:sz w:val="22"/>
              </w:rPr>
              <w:t>60%–63% FY range</w:t>
            </w:r>
          </w:p>
        </w:tc>
        <w:tc>
          <w:tcPr>
            <w:tcW w:type="dxa" w:w="1080"/>
          </w:tcPr>
          <w:p>
            <w:r>
              <w:rPr>
                <w:rFonts w:ascii="Calibri" w:hAnsi="Calibri"/>
                <w:sz w:val="22"/>
              </w:rPr>
              <w:t>Unchanged</w:t>
            </w:r>
          </w:p>
        </w:tc>
        <w:tc>
          <w:tcPr>
            <w:tcW w:type="dxa" w:w="1080"/>
          </w:tcPr>
          <w:p>
            <w:r>
              <w:rPr>
                <w:rFonts w:ascii="Calibri" w:hAnsi="Calibri"/>
                <w:sz w:val="22"/>
              </w:rPr>
              <w:t>Within range</w:t>
            </w:r>
          </w:p>
        </w:tc>
      </w:tr>
      <w:tr>
        <w:tc>
          <w:tcPr>
            <w:tcW w:type="dxa" w:w="1080"/>
          </w:tcPr>
          <w:p>
            <w:r>
              <w:rPr>
                <w:rFonts w:ascii="Calibri" w:hAnsi="Calibri"/>
                <w:sz w:val="22"/>
              </w:rPr>
              <w:t>U.S. Benefit Ratio — Q2 2026 (%)</w:t>
            </w:r>
          </w:p>
        </w:tc>
        <w:tc>
          <w:tcPr>
            <w:tcW w:type="dxa" w:w="1080"/>
          </w:tcPr>
          <w:p>
            <w:r>
              <w:rPr>
                <w:rFonts w:ascii="Calibri" w:hAnsi="Calibri"/>
                <w:sz w:val="22"/>
              </w:rPr>
              <w:t>48.5%</w:t>
            </w:r>
          </w:p>
        </w:tc>
        <w:tc>
          <w:tcPr>
            <w:tcW w:type="dxa" w:w="1080"/>
          </w:tcPr>
          <w:p>
            <w:r>
              <w:rPr>
                <w:rFonts w:ascii="Calibri" w:hAnsi="Calibri"/>
                <w:sz w:val="22"/>
              </w:rPr>
              <w:t>48.9%</w:t>
            </w:r>
          </w:p>
        </w:tc>
        <w:tc>
          <w:tcPr>
            <w:tcW w:type="dxa" w:w="1080"/>
          </w:tcPr>
          <w:p>
            <w:r>
              <w:rPr>
                <w:rFonts w:ascii="Calibri" w:hAnsi="Calibri"/>
                <w:sz w:val="22"/>
              </w:rPr>
              <w:t>+40 bps</w:t>
            </w:r>
          </w:p>
        </w:tc>
        <w:tc>
          <w:tcPr>
            <w:tcW w:type="dxa" w:w="1080"/>
          </w:tcPr>
          <w:p>
            <w:r>
              <w:rPr>
                <w:rFonts w:ascii="Calibri" w:hAnsi="Calibri"/>
                <w:sz w:val="22"/>
              </w:rPr>
              <w:t>48%–52% FY range</w:t>
            </w:r>
          </w:p>
        </w:tc>
        <w:tc>
          <w:tcPr>
            <w:tcW w:type="dxa" w:w="1080"/>
          </w:tcPr>
          <w:p>
            <w:r>
              <w:rPr>
                <w:rFonts w:ascii="Calibri" w:hAnsi="Calibri"/>
                <w:sz w:val="22"/>
              </w:rPr>
              <w:t>48%–52% FY range</w:t>
            </w:r>
          </w:p>
        </w:tc>
        <w:tc>
          <w:tcPr>
            <w:tcW w:type="dxa" w:w="1080"/>
          </w:tcPr>
          <w:p>
            <w:r>
              <w:rPr>
                <w:rFonts w:ascii="Calibri" w:hAnsi="Calibri"/>
                <w:sz w:val="22"/>
              </w:rPr>
              <w:t>Unchanged</w:t>
            </w:r>
          </w:p>
        </w:tc>
        <w:tc>
          <w:tcPr>
            <w:tcW w:type="dxa" w:w="1080"/>
          </w:tcPr>
          <w:p>
            <w:r>
              <w:rPr>
                <w:rFonts w:ascii="Calibri" w:hAnsi="Calibri"/>
                <w:sz w:val="22"/>
              </w:rPr>
              <w:t>Within range</w:t>
            </w:r>
          </w:p>
        </w:tc>
      </w:tr>
    </w:tbl>
    <w:p>
      <w:r>
        <w:rPr>
          <w:rFonts w:ascii="Calibri" w:hAnsi="Calibri"/>
          <w:color w:val="525866"/>
          <w:sz w:val="22"/>
        </w:rPr>
        <w:t>Source: Visible Alpha consensus and actuals data. Post-Q1 baseline estimated as of approximately May 6, 2026 (5 trading days after April 29 earnings release). The modest downward drift in EPS estimates (−1.1% for Q2, −0.5% for FY) is consistent with the reinsurance drag and FX headwinds flagged on the Q1 call, and does not suggest a more fundamental deterioration in the earnings outlook. The −1.3% gap between FY Japan sales consensus (¥79.0B) and management's informal ¥80B target is the key divergence — a strong Q2 print could close this gap and provide a positive catalyst.</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AFL has outperformed both the KIE insurance ETF and the S&amp;P 500 since the Q1 earnings date, with the +8% gain driven primarily by </w:t>
      </w:r>
      <w:r>
        <w:rPr>
          <w:rFonts w:ascii="Calibri" w:hAnsi="Calibri"/>
          <w:b/>
          <w:color w:val="525866"/>
          <w:sz w:val="22"/>
        </w:rPr>
        <w:t>multiple expansion</w:t>
      </w:r>
      <w:r>
        <w:rPr>
          <w:rFonts w:ascii="Calibri" w:hAnsi="Calibri"/>
          <w:color w:val="525866"/>
          <w:sz w:val="22"/>
        </w:rPr>
        <w:t xml:space="preserve"> (NTM P/E expanded from ~15.2x to ~17.0x over 6 months) rather than estimate revisions, which have been flat-to-slightly-lower — suggesting the stock's defensive characteristics and capital return story are being re-rated, but also that the valuation cushion heading into Q2 is thinner than it was.</w:t>
      </w:r>
    </w:p>
    <w:p>
      <w:r>
        <w:rPr>
          <w:rFonts w:ascii="Calibri" w:hAnsi="Calibri"/>
          <w:color w:val="525866"/>
          <w:sz w:val="22"/>
        </w:rPr>
        <w:t>The chart below shows AFL indexed to 100 at the Q1 2026 earnings date (April 29, 2026), compared to the SPDR S&amp;P Insurance ETF (KIE) and the S&amp;P 500 (SPY). KIE is the appropriate sector benchmark for AFL given its life/supplemental insurance focus within the broader insurance universe.</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AFL vs. KIE (SPDR S&amp;P Insurance ETF) vs. S&amp;P 500 — Indexed to 100 at Q1 2026 Earnings Date (April 29, 2026). Source: Yahoo Finance / Stock Price Data.</w:t>
      </w:r>
    </w:p>
    <w:p>
      <w:r>
        <w:rPr>
          <w:rFonts w:ascii="Calibri" w:hAnsi="Calibri"/>
          <w:color w:val="525866"/>
          <w:sz w:val="22"/>
        </w:rPr>
        <w:t>Performance Summary (April 29 – August 5, 2026):</w:t>
      </w:r>
    </w:p>
    <w:p>
      <w:pPr>
        <w:pStyle w:val="ListBullet"/>
        <w:ind w:left="360" w:hanging="360"/>
      </w:pPr>
      <w:r>
        <w:rPr>
          <w:rFonts w:ascii="Calibri" w:hAnsi="Calibri"/>
          <w:b/>
          <w:color w:val="525866"/>
          <w:sz w:val="22"/>
        </w:rPr>
        <w:t xml:space="preserve">AFL: </w:t>
      </w:r>
      <w:r>
        <w:rPr>
          <w:rFonts w:ascii="Calibri" w:hAnsi="Calibri"/>
          <w:color w:val="525866"/>
          <w:sz w:val="22"/>
        </w:rPr>
        <w:t>+8.0% (from $116.21 to $125.56)</w:t>
      </w:r>
    </w:p>
    <w:p>
      <w:pPr>
        <w:pStyle w:val="ListBullet"/>
        <w:ind w:left="360" w:hanging="360"/>
      </w:pPr>
      <w:r>
        <w:rPr>
          <w:rFonts w:ascii="Calibri" w:hAnsi="Calibri"/>
          <w:b/>
          <w:color w:val="525866"/>
          <w:sz w:val="22"/>
        </w:rPr>
        <w:t xml:space="preserve">KIE (SPDR S&amp;P Insurance ETF): </w:t>
      </w:r>
      <w:r>
        <w:rPr>
          <w:rFonts w:ascii="Calibri" w:hAnsi="Calibri"/>
          <w:color w:val="525866"/>
          <w:sz w:val="22"/>
        </w:rPr>
        <w:t>+13.4% (from $57.22 to $64.87) — KIE outperformed AFL, driven by strong P&amp;C insurer results (TRV, ALL) in the period</w:t>
      </w:r>
    </w:p>
    <w:p>
      <w:pPr>
        <w:pStyle w:val="ListBullet"/>
        <w:ind w:left="360" w:hanging="360"/>
      </w:pPr>
      <w:r>
        <w:rPr>
          <w:rFonts w:ascii="Calibri" w:hAnsi="Calibri"/>
          <w:b/>
          <w:color w:val="525866"/>
          <w:sz w:val="22"/>
        </w:rPr>
        <w:t xml:space="preserve">S&amp;P 500 (SPY): </w:t>
      </w:r>
      <w:r>
        <w:rPr>
          <w:rFonts w:ascii="Calibri" w:hAnsi="Calibri"/>
          <w:color w:val="525866"/>
          <w:sz w:val="22"/>
        </w:rPr>
        <w:t>+8.2% (from $711.58 to $769.79)</w:t>
      </w:r>
    </w:p>
    <w:p>
      <w:r>
        <w:rPr>
          <w:rFonts w:ascii="Calibri" w:hAnsi="Calibri"/>
          <w:color w:val="525866"/>
          <w:sz w:val="22"/>
        </w:rPr>
        <w:t>AFL has essentially matched the S&amp;P 500 since Q1 earnings while lagging the broader insurance ETF, which benefited from strong P&amp;C underwriting results. The stock's NTM P/E has expanded from ~15.2x (6 months ago) to ~17.0x currently, with the 12-month price gain of +27.4% decomposing as approximately +21% from multiple expansion and +6% from earnings growth — confirming that the re-rating story has been the primary driver. The June 30 cyberattack disclosure (Japan operations) caused a brief dip but did not materially alter the trend.</w:t>
      </w:r>
    </w:p>
    <w:p>
      <w:r>
        <w:br w:type="page"/>
      </w:r>
    </w:p>
    <w:p>
      <w:pPr>
        <w:pStyle w:val="Heading1"/>
        <w:pBdr>
          <w:bottom w:val="single" w:sz="4" w:space="1" w:color="FB9120"/>
        </w:pBdr>
      </w:pPr>
      <w:r>
        <w:rPr>
          <w:rFonts w:ascii="Calibri" w:hAnsi="Calibri"/>
          <w:b/>
          <w:color w:val="3B4259"/>
          <w:sz w:val="40"/>
        </w:rPr>
        <w:t>6. Peer Commentaries &amp; Current-Quarter Read-Through</w:t>
      </w:r>
    </w:p>
    <w:p>
      <w:r>
        <w:rPr>
          <w:rFonts w:ascii="Calibri" w:hAnsi="Calibri"/>
          <w:b/>
          <w:color w:val="525866"/>
          <w:sz w:val="22"/>
        </w:rPr>
        <w:t xml:space="preserve">Key Takeaway: </w:t>
      </w:r>
      <w:r>
        <w:rPr>
          <w:rFonts w:ascii="Calibri" w:hAnsi="Calibri"/>
          <w:color w:val="525866"/>
          <w:sz w:val="22"/>
        </w:rPr>
        <w:t xml:space="preserve">Peer Q2 2026 earnings calls (reported July–August 2026) offer several constructive read-throughs for AFL: U.S. group/voluntary benefits demand is broadly healthy across the sector, stop-loss claims experience is improving, and persistency is solid — all positive signals for AFL's U.S. segment. The most notable read-through is </w:t>
      </w:r>
      <w:r>
        <w:rPr>
          <w:rFonts w:ascii="Calibri" w:hAnsi="Calibri"/>
          <w:b/>
          <w:color w:val="525866"/>
          <w:sz w:val="22"/>
        </w:rPr>
        <w:t>Prudential's Japan sales suspension through Q3 2026</w:t>
      </w:r>
      <w:r>
        <w:rPr>
          <w:rFonts w:ascii="Calibri" w:hAnsi="Calibri"/>
          <w:color w:val="525866"/>
          <w:sz w:val="22"/>
        </w:rPr>
        <w:t>, which creates a potential market share opportunity for AFL in Japan. Note: all commentary below is forward-looking from peer Q2 2026 disclosures (i.e., what peers said about current/future conditions), not retrospective commentary about their completed Q2 results.</w:t>
      </w:r>
    </w:p>
    <w:p>
      <w:pPr>
        <w:pStyle w:val="Heading2"/>
      </w:pPr>
      <w:r>
        <w:rPr>
          <w:rFonts w:ascii="Calibri" w:hAnsi="Calibri"/>
          <w:b/>
          <w:color w:val="3B4259"/>
          <w:sz w:val="28"/>
        </w:rPr>
        <w:t>Prudential Financial (PRU) — Q2 2026 Earnings Call (August 4–5, 2026)</w:t>
      </w:r>
    </w:p>
    <w:p>
      <w:r>
        <w:rPr>
          <w:rFonts w:ascii="Calibri" w:hAnsi="Calibri"/>
          <w:b/>
          <w:color w:val="525866"/>
          <w:sz w:val="22"/>
        </w:rPr>
        <w:t>Japan Sales Suspension — Market Share Opportunity for AFL:</w:t>
      </w:r>
      <w:r>
        <w:rPr>
          <w:rFonts w:ascii="Calibri" w:hAnsi="Calibri"/>
          <w:color w:val="525866"/>
          <w:sz w:val="22"/>
        </w:rPr>
        <w:t xml:space="preserve"> Prudential confirmed its Japan subsidiary (Prudential of Japan) sales suspension will continue through Q3 2026, with a planned resumption on November 5, 2026. Management noted that customer demand in Japan is shifting "toward retirement and investment products." This is a direct read-through for AFL: with a major Japan life insurer sidelined through at least Q3, AFL's Miraito cancer and Anshin Palette medical products face reduced competitive pressure in the near term, potentially supporting above-consensus Japan new premium volumes.</w:t>
      </w:r>
    </w:p>
    <w:p>
      <w:r>
        <w:rPr>
          <w:rFonts w:ascii="Calibri" w:hAnsi="Calibri"/>
          <w:b/>
          <w:color w:val="525866"/>
          <w:sz w:val="22"/>
        </w:rPr>
        <w:t>U.S. Group Insurance Growth — Competitive Dynamics:</w:t>
      </w:r>
      <w:r>
        <w:rPr>
          <w:rFonts w:ascii="Calibri" w:hAnsi="Calibri"/>
          <w:color w:val="525866"/>
          <w:sz w:val="22"/>
        </w:rPr>
        <w:t xml:space="preserve"> PRU noted it is "seeing an accelerated growth rate in the Premier segment" and "accelerated growth in diversifying into disability assets and supplemental health." This signals intensifying competition in AFL's core U.S. supplemental health market, though AFL's worksite distribution model and brand differentiation provide some insulation.</w:t>
      </w:r>
    </w:p>
    <w:p>
      <w:pPr>
        <w:pStyle w:val="Heading2"/>
      </w:pPr>
      <w:r>
        <w:rPr>
          <w:rFonts w:ascii="Calibri" w:hAnsi="Calibri"/>
          <w:b/>
          <w:color w:val="3B4259"/>
          <w:sz w:val="28"/>
        </w:rPr>
        <w:t>Unum Group (UNM) — Q2 2026 Earnings Call (July 28–29, 2026)</w:t>
      </w:r>
    </w:p>
    <w:p>
      <w:r>
        <w:rPr>
          <w:rFonts w:ascii="Calibri" w:hAnsi="Calibri"/>
          <w:b/>
          <w:color w:val="525866"/>
          <w:sz w:val="22"/>
        </w:rPr>
        <w:t>Solid Demand for Workplace Benefits:</w:t>
      </w:r>
      <w:r>
        <w:rPr>
          <w:rFonts w:ascii="Calibri" w:hAnsi="Calibri"/>
          <w:color w:val="525866"/>
          <w:sz w:val="22"/>
        </w:rPr>
        <w:t xml:space="preserve"> UNM stated it continues to see "solid demand for workplace benefits" and is "positioned to achieve our full year expectation of 4% to 7%" in core earned premium growth. Colonial Life (UNM's voluntary benefits unit, a direct AFL competitor) is "tracking 6% ahead" of last year's agent recruiting numbers. This is a positive read-through for AFL's U.S. voluntary/worksite channel — if UNM's Colonial Life is seeing strong agent recruiting momentum, AFL's similar channel should benefit from the same favorable demand environment.</w:t>
      </w:r>
    </w:p>
    <w:p>
      <w:r>
        <w:rPr>
          <w:rFonts w:ascii="Calibri" w:hAnsi="Calibri"/>
          <w:b/>
          <w:color w:val="525866"/>
          <w:sz w:val="22"/>
        </w:rPr>
        <w:t>U.S. Group Life Benefit Ratio Sustainability:</w:t>
      </w:r>
      <w:r>
        <w:rPr>
          <w:rFonts w:ascii="Calibri" w:hAnsi="Calibri"/>
          <w:color w:val="525866"/>
          <w:sz w:val="22"/>
        </w:rPr>
        <w:t xml:space="preserve"> UNM's U.S. Group Life and AD&amp;D benefit ratio of 66% was characterized as "definitely sustainable" for the second half. This favorable mortality experience is a positive read-through for AFL's U.S. life benefit ratio, suggesting the benign claims environment that benefited Q1 may persist into Q2.</w:t>
      </w:r>
    </w:p>
    <w:p>
      <w:r>
        <w:rPr>
          <w:rFonts w:ascii="Calibri" w:hAnsi="Calibri"/>
          <w:b/>
          <w:color w:val="525866"/>
          <w:sz w:val="22"/>
        </w:rPr>
        <w:t>Colonial Life Benefit Ratio Guidance:</w:t>
      </w:r>
      <w:r>
        <w:rPr>
          <w:rFonts w:ascii="Calibri" w:hAnsi="Calibri"/>
          <w:color w:val="525866"/>
          <w:sz w:val="22"/>
        </w:rPr>
        <w:t xml:space="preserve"> UNM guided that Colonial Life's benefit ratio "may be at the lower end" of the 48%–50% range for the remainder of the year. AFL's U.S. benefit ratio consensus of ~48.9% for Q2 sits at the low end of its own 48%–52% guidance range — UNM's commentary suggests this is achievable and not overly optimistic.</w:t>
      </w:r>
    </w:p>
    <w:p>
      <w:pPr>
        <w:pStyle w:val="Heading2"/>
      </w:pPr>
      <w:r>
        <w:rPr>
          <w:rFonts w:ascii="Calibri" w:hAnsi="Calibri"/>
          <w:b/>
          <w:color w:val="3B4259"/>
          <w:sz w:val="28"/>
        </w:rPr>
        <w:t>Voya Financial (VOYA) — Q2 2026 Earnings Call (August 4–5, 2026)</w:t>
      </w:r>
    </w:p>
    <w:p>
      <w:r>
        <w:rPr>
          <w:rFonts w:ascii="Calibri" w:hAnsi="Calibri"/>
          <w:b/>
          <w:color w:val="525866"/>
          <w:sz w:val="22"/>
        </w:rPr>
        <w:t>Stop-Loss Claims Experience Improving:</w:t>
      </w:r>
      <w:r>
        <w:rPr>
          <w:rFonts w:ascii="Calibri" w:hAnsi="Calibri"/>
          <w:color w:val="525866"/>
          <w:sz w:val="22"/>
        </w:rPr>
        <w:t xml:space="preserve"> VOYA reported that early claims experience on 2026 stop-loss business is "encouraging and is emerging favourably relative to both 2024 and 2025 business," with "a lower number of high severity claims" and "a lower number of frequency." While AFL does not write stop-loss, this signals a broadly favorable claims environment in the U.S. group health space that should support AFL's U.S. benefit ratio.</w:t>
      </w:r>
    </w:p>
    <w:p>
      <w:r>
        <w:rPr>
          <w:rFonts w:ascii="Calibri" w:hAnsi="Calibri"/>
          <w:b/>
          <w:color w:val="525866"/>
          <w:sz w:val="22"/>
        </w:rPr>
        <w:t>Voluntary Benefits Demand and Persistency:</w:t>
      </w:r>
      <w:r>
        <w:rPr>
          <w:rFonts w:ascii="Calibri" w:hAnsi="Calibri"/>
          <w:color w:val="525866"/>
          <w:sz w:val="22"/>
        </w:rPr>
        <w:t xml:space="preserve"> VOYA noted that "market demand is up year over year across all size segments" for voluntary products, and that voluntary persistency "has been extremely solid." This is a direct positive read-through for AFL's U.S. voluntary benefits business, which relies on similar worksite distribution dynamics.</w:t>
      </w:r>
    </w:p>
    <w:p>
      <w:pPr>
        <w:pStyle w:val="Heading2"/>
      </w:pPr>
      <w:r>
        <w:rPr>
          <w:rFonts w:ascii="Calibri" w:hAnsi="Calibri"/>
          <w:b/>
          <w:color w:val="3B4259"/>
          <w:sz w:val="28"/>
        </w:rPr>
        <w:t>Lincoln National (LNC) — Q2 2026 Earnings Call (July 30, 2026)</w:t>
      </w:r>
    </w:p>
    <w:p>
      <w:r>
        <w:rPr>
          <w:rFonts w:ascii="Calibri" w:hAnsi="Calibri"/>
          <w:b/>
          <w:color w:val="525866"/>
          <w:sz w:val="22"/>
        </w:rPr>
        <w:t>Supplemental Health Pipeline Healthy:</w:t>
      </w:r>
      <w:r>
        <w:rPr>
          <w:rFonts w:ascii="Calibri" w:hAnsi="Calibri"/>
          <w:color w:val="525866"/>
          <w:sz w:val="22"/>
        </w:rPr>
        <w:t xml:space="preserve"> LNC highlighted a "healthy pipeline as we go into the second half of the year" for Group Protection, with the fastest-growing areas being "supplemental health products" and the "local market segment." This confirms robust demand in AFL's core product category, though it also signals that LNC is increasingly competing in AFL's space.</w:t>
      </w:r>
    </w:p>
    <w:p>
      <w:r>
        <w:rPr>
          <w:rFonts w:ascii="Calibri" w:hAnsi="Calibri"/>
          <w:b/>
          <w:color w:val="525866"/>
          <w:sz w:val="22"/>
        </w:rPr>
        <w:t>Group Life Mortality Favorable:</w:t>
      </w:r>
      <w:r>
        <w:rPr>
          <w:rFonts w:ascii="Calibri" w:hAnsi="Calibri"/>
          <w:color w:val="525866"/>
          <w:sz w:val="22"/>
        </w:rPr>
        <w:t xml:space="preserve"> LNC guided that "Group life mortality should remain favorable" in the second half, consistent with UNM's commentary and supportive of AFL's U.S. benefit ratio outlook.</w:t>
      </w:r>
    </w:p>
    <w:p>
      <w:pPr>
        <w:pStyle w:val="Heading2"/>
      </w:pPr>
      <w:r>
        <w:rPr>
          <w:rFonts w:ascii="Calibri" w:hAnsi="Calibri"/>
          <w:b/>
          <w:color w:val="3B4259"/>
          <w:sz w:val="28"/>
        </w:rPr>
        <w:t>CNO Financial Group (CNO) — Q2 2026 Earnings Call (July 31, 2026)</w:t>
      </w:r>
    </w:p>
    <w:p>
      <w:r>
        <w:rPr>
          <w:rFonts w:ascii="Calibri" w:hAnsi="Calibri"/>
          <w:b/>
          <w:color w:val="525866"/>
          <w:sz w:val="22"/>
        </w:rPr>
        <w:t>Durable Demand for Healthcare Products:</w:t>
      </w:r>
      <w:r>
        <w:rPr>
          <w:rFonts w:ascii="Calibri" w:hAnsi="Calibri"/>
          <w:color w:val="525866"/>
          <w:sz w:val="22"/>
        </w:rPr>
        <w:t xml:space="preserve"> CNO expects "durable demand for all our healthcare products" to continue, citing a "tremendous tailwind in terms of the consumer need" from retiring individuals. Worksite business growth is also expected "to continue." This is a broad positive read-through for AFL's supplemental health franchise, which targets similar demographics.</w:t>
      </w:r>
    </w:p>
    <w:p>
      <w:r>
        <w:rPr>
          <w:rFonts w:ascii="Calibri" w:hAnsi="Calibri"/>
          <w:b/>
          <w:color w:val="525866"/>
          <w:sz w:val="22"/>
        </w:rPr>
        <w:t>Long-Term Care Claims Review:</w:t>
      </w:r>
      <w:r>
        <w:rPr>
          <w:rFonts w:ascii="Calibri" w:hAnsi="Calibri"/>
          <w:color w:val="525866"/>
          <w:sz w:val="22"/>
        </w:rPr>
        <w:t xml:space="preserve"> CNO noted it has "observed modestly lower claims versus our expectations on the favorable end of the range of current assumptions" in its long-term care block. While AFL does not write LTC, this signals a broadly favorable claims environment across the supplemental/health insurance sector.</w:t>
      </w:r>
    </w:p>
    <w:p>
      <w:pPr>
        <w:pStyle w:val="Heading2"/>
      </w:pPr>
      <w:r>
        <w:rPr>
          <w:rFonts w:ascii="Calibri" w:hAnsi="Calibri"/>
          <w:b/>
          <w:color w:val="3B4259"/>
          <w:sz w:val="28"/>
        </w:rPr>
        <w:t>Globe Life (GL) — Q2 2026 Earnings Call (July 22–23, 2026)</w:t>
      </w:r>
    </w:p>
    <w:p>
      <w:r>
        <w:rPr>
          <w:rFonts w:ascii="Calibri" w:hAnsi="Calibri"/>
          <w:b/>
          <w:color w:val="525866"/>
          <w:sz w:val="22"/>
        </w:rPr>
        <w:t>Agent Count Recovery and Sales Growth:</w:t>
      </w:r>
      <w:r>
        <w:rPr>
          <w:rFonts w:ascii="Calibri" w:hAnsi="Calibri"/>
          <w:color w:val="525866"/>
          <w:sz w:val="22"/>
        </w:rPr>
        <w:t xml:space="preserve"> GL expects compensation adjustments to have a "positive impact on agent count in the second half of this year," with "mid-single digit growth in both agent count and live sales" at American Income Life in H2. This is a read-through for AFL's U.S. core agent channel, which management acknowledged is "slightly down to flat" — GL's experience suggests agent channel recovery is achievable with the right incentive structure, though AFL's timeline may differ.</w:t>
      </w:r>
    </w:p>
    <w:p>
      <w:r>
        <w:rPr>
          <w:rFonts w:ascii="Calibri" w:hAnsi="Calibri"/>
          <w:b/>
          <w:color w:val="525866"/>
          <w:sz w:val="22"/>
        </w:rPr>
        <w:t>Assumption Updates in Q3:</w:t>
      </w:r>
      <w:r>
        <w:rPr>
          <w:rFonts w:ascii="Calibri" w:hAnsi="Calibri"/>
          <w:color w:val="525866"/>
          <w:sz w:val="22"/>
        </w:rPr>
        <w:t xml:space="preserve"> GL guided for remeasurement gains of "$110 million to $130 million" from Q3 life and health assumption updates. This is a reminder that AFL's own Q3 2026 results will likely include assumption updates (as they have in Q3 of prior years), which could create significant EPS volatility — but is not a Q2 read-through.</w:t>
      </w:r>
    </w:p>
    <w:p>
      <w:pPr>
        <w:pStyle w:val="Heading2"/>
      </w:pPr>
      <w:r>
        <w:rPr>
          <w:rFonts w:ascii="Calibri" w:hAnsi="Calibri"/>
          <w:b/>
          <w:color w:val="3B4259"/>
          <w:sz w:val="28"/>
        </w:rPr>
        <w:t>MetLife (MET) — Q2 2026 Results (August 5, 2026)</w:t>
      </w:r>
    </w:p>
    <w:p>
      <w:r>
        <w:rPr>
          <w:rFonts w:ascii="Calibri" w:hAnsi="Calibri"/>
          <w:b/>
          <w:color w:val="525866"/>
          <w:sz w:val="22"/>
        </w:rPr>
        <w:t>Strong Underwriting and Volume Growth:</w:t>
      </w:r>
      <w:r>
        <w:rPr>
          <w:rFonts w:ascii="Calibri" w:hAnsi="Calibri"/>
          <w:color w:val="525866"/>
          <w:sz w:val="22"/>
        </w:rPr>
        <w:t xml:space="preserve"> MET reported adjusted EPS of $2.43, beating Street expectations of $2.30, driven by "strong underwriting and broad volume growth." MET also approved a new $3 billion stock repurchase program. While MET's business mix differs from AFL's, the strong underwriting result and capital return commitment are broadly positive signals for the life/supplemental insurance sector heading into AFL's print.</w:t>
      </w:r>
    </w:p>
    <w:p>
      <w:r>
        <w:br w:type="page"/>
      </w:r>
    </w:p>
    <w:p>
      <w:pPr>
        <w:pStyle w:val="Heading1"/>
        <w:pBdr>
          <w:bottom w:val="single" w:sz="4" w:space="1" w:color="FB9120"/>
        </w:pBdr>
      </w:pPr>
      <w:r>
        <w:rPr>
          <w:rFonts w:ascii="Calibri" w:hAnsi="Calibri"/>
          <w:b/>
          <w:color w:val="3B4259"/>
          <w:sz w:val="40"/>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Japan cyberattack disclosure (June 30, 2026)</w:t>
      </w:r>
      <w:r>
        <w:rPr>
          <w:rFonts w:ascii="Calibri" w:hAnsi="Calibri"/>
          <w:color w:val="525866"/>
          <w:sz w:val="22"/>
        </w:rPr>
        <w:t>, which introduces headline risk and potential reputational/regulatory exposure in AFL's largest market; the market's muted reaction suggests limited near-term financial impact is expected, but management will need to address it on the Q2 call.</w:t>
      </w:r>
    </w:p>
    <w:p>
      <w:pPr>
        <w:pStyle w:val="ListBullet"/>
        <w:ind w:left="360" w:hanging="360"/>
      </w:pPr>
      <w:r>
        <w:rPr>
          <w:rFonts w:ascii="Calibri" w:hAnsi="Calibri"/>
          <w:b/>
          <w:color w:val="525866"/>
          <w:sz w:val="22"/>
        </w:rPr>
        <w:t>June 30, 2026 — Japan Cyberattack / Customer Data Breach (8-K):</w:t>
      </w:r>
      <w:r>
        <w:rPr>
          <w:rFonts w:ascii="Calibri" w:hAnsi="Calibri"/>
          <w:i/>
          <w:color w:val="525866"/>
          <w:sz w:val="22"/>
        </w:rPr>
        <w:t xml:space="preserve"> Aflac Japan reported a cyberattack in which customer data was compromised. This is the most significant development since Q1 earnings. Management will need to address the scope, remediation costs, and any regulatory implications on the Q2 call. The stock did not react materially at the time of disclosure, suggesting the market views the financial impact as limited, but reputational risk in Japan — where trust is paramount in insurance distribution — is a longer-term concern. </w:t>
      </w:r>
      <w:r>
        <w:rPr>
          <w:rFonts w:ascii="Calibri" w:hAnsi="Calibri"/>
          <w:color w:val="525866"/>
          <w:sz w:val="22"/>
        </w:rPr>
        <w:t>Implication: Watch for management commentary on remediation costs, regulatory response, and any impact on Japan agent/policyholder confidence.</w:t>
      </w:r>
    </w:p>
    <w:p>
      <w:pPr>
        <w:pStyle w:val="ListBullet"/>
        <w:ind w:left="360" w:hanging="360"/>
      </w:pPr>
      <w:r>
        <w:rPr>
          <w:rFonts w:ascii="Calibri" w:hAnsi="Calibri"/>
          <w:b/>
          <w:color w:val="525866"/>
          <w:sz w:val="22"/>
        </w:rPr>
        <w:t>May 14, 2026 — $500 Million Senior Notes Offering (8-K):</w:t>
      </w:r>
      <w:r>
        <w:rPr>
          <w:rFonts w:ascii="Calibri" w:hAnsi="Calibri"/>
          <w:i/>
          <w:color w:val="525866"/>
          <w:sz w:val="22"/>
        </w:rPr>
        <w:t xml:space="preserve"> Aflac issued $500 million in senior notes due 2036. This is consistent with the company's stated capital management approach and does not signal a change in leverage strategy (CFO confirmed no plans to increase leverage). The proceeds likely support holding company liquidity and ongoing capital return programs. </w:t>
      </w:r>
      <w:r>
        <w:rPr>
          <w:rFonts w:ascii="Calibri" w:hAnsi="Calibri"/>
          <w:color w:val="525866"/>
          <w:sz w:val="22"/>
        </w:rPr>
        <w:t>Implication: Neutral to slightly positive — confirms access to capital markets at favorable terms.</w:t>
      </w:r>
    </w:p>
    <w:p>
      <w:pPr>
        <w:pStyle w:val="ListBullet"/>
        <w:ind w:left="360" w:hanging="360"/>
      </w:pPr>
      <w:r>
        <w:rPr>
          <w:rFonts w:ascii="Calibri" w:hAnsi="Calibri"/>
          <w:b/>
          <w:color w:val="525866"/>
          <w:sz w:val="22"/>
        </w:rPr>
        <w:t>May 7, 2026 — Shareholders Reject Independent Board Chairman Proposal (8-K):</w:t>
      </w:r>
      <w:r>
        <w:rPr>
          <w:rFonts w:ascii="Calibri" w:hAnsi="Calibri"/>
          <w:i/>
          <w:color w:val="525866"/>
          <w:sz w:val="22"/>
        </w:rPr>
        <w:t xml:space="preserve"> At the annual meeting, shareholders voted against a proposal to require an independent board chairman. This is a governance note with no direct financial implications. </w:t>
      </w:r>
      <w:r>
        <w:rPr>
          <w:rFonts w:ascii="Calibri" w:hAnsi="Calibri"/>
          <w:color w:val="525866"/>
          <w:sz w:val="22"/>
        </w:rPr>
        <w:t>Implication: Neutral.</w:t>
      </w:r>
    </w:p>
    <w:p>
      <w:pPr>
        <w:pStyle w:val="ListBullet"/>
        <w:ind w:left="360" w:hanging="360"/>
      </w:pPr>
      <w:r>
        <w:rPr>
          <w:rFonts w:ascii="Calibri" w:hAnsi="Calibri"/>
          <w:b/>
          <w:color w:val="525866"/>
          <w:sz w:val="22"/>
        </w:rPr>
        <w:t>August 5, 2026 — MetLife Q2 Beat and $3B Buyback Authorization:</w:t>
      </w:r>
      <w:r>
        <w:rPr>
          <w:rFonts w:ascii="Calibri" w:hAnsi="Calibri"/>
          <w:i/>
          <w:color w:val="525866"/>
          <w:sz w:val="22"/>
        </w:rPr>
        <w:t xml:space="preserve"> MET reported adjusted EPS of $2.43 vs. $2.30 consensus, driven by strong underwriting and volume growth, and approved a new $3 billion repurchase program. As a life insurance peer, MET's strong print is a positive read-through for sector underwriting conditions heading into AFL's report. </w:t>
      </w:r>
      <w:r>
        <w:rPr>
          <w:rFonts w:ascii="Calibri" w:hAnsi="Calibri"/>
          <w:color w:val="525866"/>
          <w:sz w:val="22"/>
        </w:rPr>
        <w:t>Implication: Positive sector read-through.</w:t>
      </w:r>
    </w:p>
    <w:p>
      <w:pPr>
        <w:pStyle w:val="ListBullet"/>
        <w:ind w:left="360" w:hanging="360"/>
      </w:pPr>
      <w:r>
        <w:rPr>
          <w:rFonts w:ascii="Calibri" w:hAnsi="Calibri"/>
          <w:b/>
          <w:color w:val="525866"/>
          <w:sz w:val="22"/>
        </w:rPr>
        <w:t>August 4–5, 2026 — Prudential Japan Sales Suspension Continues Through Q3:</w:t>
      </w:r>
      <w:r>
        <w:rPr>
          <w:rFonts w:ascii="Calibri" w:hAnsi="Calibri"/>
          <w:i/>
          <w:color w:val="525866"/>
          <w:sz w:val="22"/>
        </w:rPr>
        <w:t xml:space="preserve"> PRU confirmed its Japan subsidiary will not resume sales until November 5, 2026. This removes a key competitor from the Japan market for at least one more quarter, potentially supporting AFL's Japan new premium volumes above consensus. </w:t>
      </w:r>
      <w:r>
        <w:rPr>
          <w:rFonts w:ascii="Calibri" w:hAnsi="Calibri"/>
          <w:color w:val="525866"/>
          <w:sz w:val="22"/>
        </w:rPr>
        <w:t>Implication: Positive for AFL Japan sales.</w:t>
      </w:r>
    </w:p>
    <w:p>
      <w:pPr>
        <w:pStyle w:val="ListBullet"/>
        <w:ind w:left="360" w:hanging="360"/>
      </w:pPr>
      <w:r>
        <w:rPr>
          <w:rFonts w:ascii="Calibri" w:hAnsi="Calibri"/>
          <w:b/>
          <w:color w:val="525866"/>
          <w:sz w:val="22"/>
        </w:rPr>
        <w:t>August 5, 2026 — China Offshore Insurance Tax Risk (News):</w:t>
      </w:r>
      <w:r>
        <w:rPr>
          <w:rFonts w:ascii="Calibri" w:hAnsi="Calibri"/>
          <w:i/>
          <w:color w:val="525866"/>
          <w:sz w:val="22"/>
        </w:rPr>
        <w:t xml:space="preserve"> Reports emerged that Chinese mainland tax authorities are levying 20% personal income tax on returns from Hong Kong insurance policies. This caused sharp declines in Hong Kong-listed insurers (Prudential plc, AIA Group). AFL has no material exposure to Hong Kong/China offshore insurance products — its Japan business is domestic Japanese supplemental insurance. </w:t>
      </w:r>
      <w:r>
        <w:rPr>
          <w:rFonts w:ascii="Calibri" w:hAnsi="Calibri"/>
          <w:color w:val="525866"/>
          <w:sz w:val="22"/>
        </w:rPr>
        <w:t>Implication: Not directly relevant to AFL; may create sector noise but no fundamental impact.</w:t>
      </w:r>
    </w:p>
    <w:p>
      <w:pPr>
        <w:pStyle w:val="ListBullet"/>
        <w:ind w:left="360" w:hanging="360"/>
      </w:pPr>
      <w:r>
        <w:rPr>
          <w:rFonts w:ascii="Calibri" w:hAnsi="Calibri"/>
          <w:b/>
          <w:color w:val="525866"/>
          <w:sz w:val="22"/>
        </w:rPr>
        <w:t>Ongoing — Japan Post Holdings Stake Reduction:</w:t>
      </w:r>
      <w:r>
        <w:rPr>
          <w:rFonts w:ascii="Calibri" w:hAnsi="Calibri"/>
          <w:i/>
          <w:color w:val="525866"/>
          <w:sz w:val="22"/>
        </w:rPr>
        <w:t xml:space="preserve"> Japan Post Holdings (a ~10% owner of AFL) has been systematically selling AFL shares throughout the period (May–June 2026), with daily sales ranging from ~3,300 to ~63,000 shares under a 10b5-1 plan. Total shares sold in the period represent a meaningful reduction in their stake (from ~51.6M to ~50.9M shares). This is a known, planned disposition and has not materially impacted the stock price. </w:t>
      </w:r>
      <w:r>
        <w:rPr>
          <w:rFonts w:ascii="Calibri" w:hAnsi="Calibri"/>
          <w:color w:val="525866"/>
          <w:sz w:val="22"/>
        </w:rPr>
        <w:t>Implication: Modest technical overhang; no fundamental signal.</w:t>
      </w:r>
    </w:p>
    <w:p>
      <w:pPr>
        <w:pStyle w:val="ListBullet"/>
        <w:ind w:left="360" w:hanging="360"/>
      </w:pPr>
      <w:r>
        <w:rPr>
          <w:rFonts w:ascii="Calibri" w:hAnsi="Calibri"/>
          <w:b/>
          <w:color w:val="525866"/>
          <w:sz w:val="22"/>
        </w:rPr>
        <w:t>Ongoing — External Reinsurance Franchise (Japan Post Insurance Deal):</w:t>
      </w:r>
      <w:r>
        <w:rPr>
          <w:rFonts w:ascii="Calibri" w:hAnsi="Calibri"/>
          <w:i/>
          <w:color w:val="525866"/>
          <w:sz w:val="22"/>
        </w:rPr>
        <w:t xml:space="preserve"> The first external reinsurance transaction (with Japan Post Insurance) completed in Q1 2026 continues to generate a mid-single-digit USD million quarterly earnings drag through Q2–Q3 2026, as guided. Management has framed this as a strategic growth initiative that will become material over time. </w:t>
      </w:r>
      <w:r>
        <w:rPr>
          <w:rFonts w:ascii="Calibri" w:hAnsi="Calibri"/>
          <w:color w:val="525866"/>
          <w:sz w:val="22"/>
        </w:rPr>
        <w:t>Implication: Known headwind already embedded in Q2 estimates; watch for any update on pipeline of additional transactions.</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 xml:space="preserve">The dominant insider activity is Japan Post Holdings' systematic, 10b5-1-plan-driven reduction of its ~10% AFL stake — a known, pre-planned disposition with no fundamental signal. Among corporate insiders, the activity is limited and largely routine (small planned/10b5-1 sales by directors), with no open-market buys and no unusual discretionary selling by senior management. </w:t>
      </w:r>
      <w:r>
        <w:rPr>
          <w:rFonts w:ascii="Calibri" w:hAnsi="Calibri"/>
          <w:color w:val="525866"/>
          <w:sz w:val="22"/>
        </w:rPr>
        <w:t>Nothing stands out as a meaningful insider signal heading into Q2 earnings.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Trade Date (Effective)</w:t>
            </w:r>
          </w:p>
        </w:tc>
        <w:tc>
          <w:tcPr>
            <w:tcW w:type="dxa" w:w="1234"/>
            <w:shd w:val="clear" w:color="auto" w:fill="3B4259"/>
          </w:tcPr>
          <w:p>
            <w:r>
              <w:rPr>
                <w:rFonts w:ascii="Calibri" w:hAnsi="Calibri"/>
                <w:b/>
                <w:color w:val="FFFFFF"/>
                <w:sz w:val="22"/>
              </w:rPr>
              <w:t>Form 4 Filed</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Japan Post Holdings Co., Ltd.</w:t>
            </w:r>
          </w:p>
        </w:tc>
        <w:tc>
          <w:tcPr>
            <w:tcW w:type="dxa" w:w="1234"/>
          </w:tcPr>
          <w:p>
            <w:r>
              <w:rPr>
                <w:rFonts w:ascii="Calibri" w:hAnsi="Calibri"/>
                <w:sz w:val="22"/>
              </w:rPr>
              <w:t>10% Owner</w:t>
            </w:r>
          </w:p>
        </w:tc>
        <w:tc>
          <w:tcPr>
            <w:tcW w:type="dxa" w:w="1234"/>
          </w:tcPr>
          <w:p>
            <w:r>
              <w:rPr>
                <w:rFonts w:ascii="Calibri" w:hAnsi="Calibri"/>
                <w:sz w:val="22"/>
              </w:rPr>
              <w:t>10b5-1 Planned Sale</w:t>
            </w:r>
          </w:p>
        </w:tc>
        <w:tc>
          <w:tcPr>
            <w:tcW w:type="dxa" w:w="1234"/>
          </w:tcPr>
          <w:p>
            <w:r>
              <w:rPr>
                <w:rFonts w:ascii="Calibri" w:hAnsi="Calibri"/>
                <w:sz w:val="22"/>
              </w:rPr>
              <w:t>27,845</w:t>
            </w:r>
          </w:p>
        </w:tc>
        <w:tc>
          <w:tcPr>
            <w:tcW w:type="dxa" w:w="1234"/>
          </w:tcPr>
          <w:p>
            <w:r>
              <w:rPr>
                <w:rFonts w:ascii="Calibri" w:hAnsi="Calibri"/>
                <w:sz w:val="22"/>
              </w:rPr>
              <w:t>June 22, 2026</w:t>
            </w:r>
          </w:p>
        </w:tc>
        <w:tc>
          <w:tcPr>
            <w:tcW w:type="dxa" w:w="1234"/>
          </w:tcPr>
          <w:p>
            <w:r>
              <w:rPr>
                <w:rFonts w:ascii="Calibri" w:hAnsi="Calibri"/>
                <w:sz w:val="22"/>
              </w:rPr>
              <w:t>June 23, 2026</w:t>
            </w:r>
          </w:p>
        </w:tc>
        <w:tc>
          <w:tcPr>
            <w:tcW w:type="dxa" w:w="1234"/>
          </w:tcPr>
          <w:p>
            <w:r>
              <w:rPr>
                <w:rFonts w:ascii="Calibri" w:hAnsi="Calibri"/>
                <w:sz w:val="22"/>
              </w:rPr>
              <w:t>Pre-planned systematic stake reduction; no fundamental signal. Largest single-day sale in the period.</w:t>
            </w:r>
          </w:p>
        </w:tc>
      </w:tr>
      <w:tr>
        <w:tc>
          <w:tcPr>
            <w:tcW w:type="dxa" w:w="1234"/>
          </w:tcPr>
          <w:p>
            <w:r>
              <w:rPr>
                <w:rFonts w:ascii="Calibri" w:hAnsi="Calibri"/>
                <w:sz w:val="22"/>
              </w:rPr>
              <w:t>Japan Post Holdings Co., Ltd.</w:t>
            </w:r>
          </w:p>
        </w:tc>
        <w:tc>
          <w:tcPr>
            <w:tcW w:type="dxa" w:w="1234"/>
          </w:tcPr>
          <w:p>
            <w:r>
              <w:rPr>
                <w:rFonts w:ascii="Calibri" w:hAnsi="Calibri"/>
                <w:sz w:val="22"/>
              </w:rPr>
              <w:t>10% Owner</w:t>
            </w:r>
          </w:p>
        </w:tc>
        <w:tc>
          <w:tcPr>
            <w:tcW w:type="dxa" w:w="1234"/>
          </w:tcPr>
          <w:p>
            <w:r>
              <w:rPr>
                <w:rFonts w:ascii="Calibri" w:hAnsi="Calibri"/>
                <w:sz w:val="22"/>
              </w:rPr>
              <w:t>10b5-1 Planned Sale</w:t>
            </w:r>
          </w:p>
        </w:tc>
        <w:tc>
          <w:tcPr>
            <w:tcW w:type="dxa" w:w="1234"/>
          </w:tcPr>
          <w:p>
            <w:r>
              <w:rPr>
                <w:rFonts w:ascii="Calibri" w:hAnsi="Calibri"/>
                <w:sz w:val="22"/>
              </w:rPr>
              <w:t>63,000</w:t>
            </w:r>
          </w:p>
        </w:tc>
        <w:tc>
          <w:tcPr>
            <w:tcW w:type="dxa" w:w="1234"/>
          </w:tcPr>
          <w:p>
            <w:r>
              <w:rPr>
                <w:rFonts w:ascii="Calibri" w:hAnsi="Calibri"/>
                <w:sz w:val="22"/>
              </w:rPr>
              <w:t>June 5, 2026</w:t>
            </w:r>
          </w:p>
        </w:tc>
        <w:tc>
          <w:tcPr>
            <w:tcW w:type="dxa" w:w="1234"/>
          </w:tcPr>
          <w:p>
            <w:r>
              <w:rPr>
                <w:rFonts w:ascii="Calibri" w:hAnsi="Calibri"/>
                <w:sz w:val="22"/>
              </w:rPr>
              <w:t>June 9, 2026</w:t>
            </w:r>
          </w:p>
        </w:tc>
        <w:tc>
          <w:tcPr>
            <w:tcW w:type="dxa" w:w="1234"/>
          </w:tcPr>
          <w:p>
            <w:r>
              <w:rPr>
                <w:rFonts w:ascii="Calibri" w:hAnsi="Calibri"/>
                <w:sz w:val="22"/>
              </w:rPr>
              <w:t>Largest single-day sale in the full period (May–June 2026); part of ongoing 10b5-1 plan.</w:t>
            </w:r>
          </w:p>
        </w:tc>
      </w:tr>
      <w:tr>
        <w:tc>
          <w:tcPr>
            <w:tcW w:type="dxa" w:w="1234"/>
          </w:tcPr>
          <w:p>
            <w:r>
              <w:rPr>
                <w:rFonts w:ascii="Calibri" w:hAnsi="Calibri"/>
                <w:sz w:val="22"/>
              </w:rPr>
              <w:t>Japan Post Holdings Co., Ltd.</w:t>
            </w:r>
          </w:p>
        </w:tc>
        <w:tc>
          <w:tcPr>
            <w:tcW w:type="dxa" w:w="1234"/>
          </w:tcPr>
          <w:p>
            <w:r>
              <w:rPr>
                <w:rFonts w:ascii="Calibri" w:hAnsi="Calibri"/>
                <w:sz w:val="22"/>
              </w:rPr>
              <w:t>10% Owner</w:t>
            </w:r>
          </w:p>
        </w:tc>
        <w:tc>
          <w:tcPr>
            <w:tcW w:type="dxa" w:w="1234"/>
          </w:tcPr>
          <w:p>
            <w:r>
              <w:rPr>
                <w:rFonts w:ascii="Calibri" w:hAnsi="Calibri"/>
                <w:sz w:val="22"/>
              </w:rPr>
              <w:t>10b5-1 Planned Sale</w:t>
            </w:r>
          </w:p>
        </w:tc>
        <w:tc>
          <w:tcPr>
            <w:tcW w:type="dxa" w:w="1234"/>
          </w:tcPr>
          <w:p>
            <w:r>
              <w:rPr>
                <w:rFonts w:ascii="Calibri" w:hAnsi="Calibri"/>
                <w:sz w:val="22"/>
              </w:rPr>
              <w:t>53,000</w:t>
            </w:r>
          </w:p>
        </w:tc>
        <w:tc>
          <w:tcPr>
            <w:tcW w:type="dxa" w:w="1234"/>
          </w:tcPr>
          <w:p>
            <w:r>
              <w:rPr>
                <w:rFonts w:ascii="Calibri" w:hAnsi="Calibri"/>
                <w:sz w:val="22"/>
              </w:rPr>
              <w:t>June 12, 2026</w:t>
            </w:r>
          </w:p>
        </w:tc>
        <w:tc>
          <w:tcPr>
            <w:tcW w:type="dxa" w:w="1234"/>
          </w:tcPr>
          <w:p>
            <w:r>
              <w:rPr>
                <w:rFonts w:ascii="Calibri" w:hAnsi="Calibri"/>
                <w:sz w:val="22"/>
              </w:rPr>
              <w:t>June 16, 2026</w:t>
            </w:r>
          </w:p>
        </w:tc>
        <w:tc>
          <w:tcPr>
            <w:tcW w:type="dxa" w:w="1234"/>
          </w:tcPr>
          <w:p>
            <w:r>
              <w:rPr>
                <w:rFonts w:ascii="Calibri" w:hAnsi="Calibri"/>
                <w:sz w:val="22"/>
              </w:rPr>
              <w:t>Part of ongoing 10b5-1 plan.</w:t>
            </w:r>
          </w:p>
        </w:tc>
      </w:tr>
      <w:tr>
        <w:tc>
          <w:tcPr>
            <w:tcW w:type="dxa" w:w="1234"/>
          </w:tcPr>
          <w:p>
            <w:r>
              <w:rPr>
                <w:rFonts w:ascii="Calibri" w:hAnsi="Calibri"/>
                <w:sz w:val="22"/>
              </w:rPr>
              <w:t>MOSKOWITZ JOSEPH L</w:t>
            </w:r>
          </w:p>
        </w:tc>
        <w:tc>
          <w:tcPr>
            <w:tcW w:type="dxa" w:w="1234"/>
          </w:tcPr>
          <w:p>
            <w:r>
              <w:rPr>
                <w:rFonts w:ascii="Calibri" w:hAnsi="Calibri"/>
                <w:sz w:val="22"/>
              </w:rPr>
              <w:t>Director</w:t>
            </w:r>
          </w:p>
        </w:tc>
        <w:tc>
          <w:tcPr>
            <w:tcW w:type="dxa" w:w="1234"/>
          </w:tcPr>
          <w:p>
            <w:r>
              <w:rPr>
                <w:rFonts w:ascii="Calibri" w:hAnsi="Calibri"/>
                <w:sz w:val="22"/>
              </w:rPr>
              <w:t>Open Market Sale</w:t>
            </w:r>
          </w:p>
        </w:tc>
        <w:tc>
          <w:tcPr>
            <w:tcW w:type="dxa" w:w="1234"/>
          </w:tcPr>
          <w:p>
            <w:r>
              <w:rPr>
                <w:rFonts w:ascii="Calibri" w:hAnsi="Calibri"/>
                <w:sz w:val="22"/>
              </w:rPr>
              <w:t>12,370</w:t>
            </w:r>
          </w:p>
        </w:tc>
        <w:tc>
          <w:tcPr>
            <w:tcW w:type="dxa" w:w="1234"/>
          </w:tcPr>
          <w:p>
            <w:r>
              <w:rPr>
                <w:rFonts w:ascii="Calibri" w:hAnsi="Calibri"/>
                <w:sz w:val="22"/>
              </w:rPr>
              <w:t>June 22, 2026</w:t>
            </w:r>
          </w:p>
        </w:tc>
        <w:tc>
          <w:tcPr>
            <w:tcW w:type="dxa" w:w="1234"/>
          </w:tcPr>
          <w:p>
            <w:r>
              <w:rPr>
                <w:rFonts w:ascii="Calibri" w:hAnsi="Calibri"/>
                <w:sz w:val="22"/>
              </w:rPr>
              <w:t>June 24, 2026</w:t>
            </w:r>
          </w:p>
        </w:tc>
        <w:tc>
          <w:tcPr>
            <w:tcW w:type="dxa" w:w="1234"/>
          </w:tcPr>
          <w:p>
            <w:r>
              <w:rPr>
                <w:rFonts w:ascii="Calibri" w:hAnsi="Calibri"/>
                <w:sz w:val="22"/>
              </w:rPr>
              <w:t>Discretionary sale; not under 10b5-1 plan. Largest director sale in the period. Retains 33,310 shares.</w:t>
            </w:r>
          </w:p>
        </w:tc>
      </w:tr>
      <w:tr>
        <w:tc>
          <w:tcPr>
            <w:tcW w:type="dxa" w:w="1234"/>
          </w:tcPr>
          <w:p>
            <w:r>
              <w:rPr>
                <w:rFonts w:ascii="Calibri" w:hAnsi="Calibri"/>
                <w:sz w:val="22"/>
              </w:rPr>
              <w:t>LAKE CHARLES D II</w:t>
            </w:r>
          </w:p>
        </w:tc>
        <w:tc>
          <w:tcPr>
            <w:tcW w:type="dxa" w:w="1234"/>
          </w:tcPr>
          <w:p>
            <w:r>
              <w:rPr>
                <w:rFonts w:ascii="Calibri" w:hAnsi="Calibri"/>
                <w:sz w:val="22"/>
              </w:rPr>
              <w:t>Chairman &amp; Rep. Director, ALIJ</w:t>
            </w:r>
          </w:p>
        </w:tc>
        <w:tc>
          <w:tcPr>
            <w:tcW w:type="dxa" w:w="1234"/>
          </w:tcPr>
          <w:p>
            <w:r>
              <w:rPr>
                <w:rFonts w:ascii="Calibri" w:hAnsi="Calibri"/>
                <w:sz w:val="22"/>
              </w:rPr>
              <w:t>Open Market Sale</w:t>
            </w:r>
          </w:p>
        </w:tc>
        <w:tc>
          <w:tcPr>
            <w:tcW w:type="dxa" w:w="1234"/>
          </w:tcPr>
          <w:p>
            <w:r>
              <w:rPr>
                <w:rFonts w:ascii="Calibri" w:hAnsi="Calibri"/>
                <w:sz w:val="22"/>
              </w:rPr>
              <w:t>6,500</w:t>
            </w:r>
          </w:p>
        </w:tc>
        <w:tc>
          <w:tcPr>
            <w:tcW w:type="dxa" w:w="1234"/>
          </w:tcPr>
          <w:p>
            <w:r>
              <w:rPr>
                <w:rFonts w:ascii="Calibri" w:hAnsi="Calibri"/>
                <w:sz w:val="22"/>
              </w:rPr>
              <w:t>May 5, 2026</w:t>
            </w:r>
          </w:p>
        </w:tc>
        <w:tc>
          <w:tcPr>
            <w:tcW w:type="dxa" w:w="1234"/>
          </w:tcPr>
          <w:p>
            <w:r>
              <w:rPr>
                <w:rFonts w:ascii="Calibri" w:hAnsi="Calibri"/>
                <w:sz w:val="22"/>
              </w:rPr>
              <w:t>May 7, 2026</w:t>
            </w:r>
          </w:p>
        </w:tc>
        <w:tc>
          <w:tcPr>
            <w:tcW w:type="dxa" w:w="1234"/>
          </w:tcPr>
          <w:p>
            <w:r>
              <w:rPr>
                <w:rFonts w:ascii="Calibri" w:hAnsi="Calibri"/>
                <w:sz w:val="22"/>
              </w:rPr>
              <w:t>Discretionary sale; not under 10b5-1 plan. Retains 50,737 shares.</w:t>
            </w:r>
          </w:p>
        </w:tc>
      </w:tr>
      <w:tr>
        <w:tc>
          <w:tcPr>
            <w:tcW w:type="dxa" w:w="1234"/>
          </w:tcPr>
          <w:p>
            <w:r>
              <w:rPr>
                <w:rFonts w:ascii="Calibri" w:hAnsi="Calibri"/>
                <w:sz w:val="22"/>
              </w:rPr>
              <w:t>KENNY THOMAS J</w:t>
            </w:r>
          </w:p>
        </w:tc>
        <w:tc>
          <w:tcPr>
            <w:tcW w:type="dxa" w:w="1234"/>
          </w:tcPr>
          <w:p>
            <w:r>
              <w:rPr>
                <w:rFonts w:ascii="Calibri" w:hAnsi="Calibri"/>
                <w:sz w:val="22"/>
              </w:rPr>
              <w:t>Director</w:t>
            </w:r>
          </w:p>
        </w:tc>
        <w:tc>
          <w:tcPr>
            <w:tcW w:type="dxa" w:w="1234"/>
          </w:tcPr>
          <w:p>
            <w:r>
              <w:rPr>
                <w:rFonts w:ascii="Calibri" w:hAnsi="Calibri"/>
                <w:sz w:val="22"/>
              </w:rPr>
              <w:t>Open Market Sale</w:t>
            </w:r>
          </w:p>
        </w:tc>
        <w:tc>
          <w:tcPr>
            <w:tcW w:type="dxa" w:w="1234"/>
          </w:tcPr>
          <w:p>
            <w:r>
              <w:rPr>
                <w:rFonts w:ascii="Calibri" w:hAnsi="Calibri"/>
                <w:sz w:val="22"/>
              </w:rPr>
              <w:t>1,740</w:t>
            </w:r>
          </w:p>
        </w:tc>
        <w:tc>
          <w:tcPr>
            <w:tcW w:type="dxa" w:w="1234"/>
          </w:tcPr>
          <w:p>
            <w:r>
              <w:rPr>
                <w:rFonts w:ascii="Calibri" w:hAnsi="Calibri"/>
                <w:sz w:val="22"/>
              </w:rPr>
              <w:t>May 15, 2026</w:t>
            </w:r>
          </w:p>
        </w:tc>
        <w:tc>
          <w:tcPr>
            <w:tcW w:type="dxa" w:w="1234"/>
          </w:tcPr>
          <w:p>
            <w:r>
              <w:rPr>
                <w:rFonts w:ascii="Calibri" w:hAnsi="Calibri"/>
                <w:sz w:val="22"/>
              </w:rPr>
              <w:t>May 18, 2026</w:t>
            </w:r>
          </w:p>
        </w:tc>
        <w:tc>
          <w:tcPr>
            <w:tcW w:type="dxa" w:w="1234"/>
          </w:tcPr>
          <w:p>
            <w:r>
              <w:rPr>
                <w:rFonts w:ascii="Calibri" w:hAnsi="Calibri"/>
                <w:sz w:val="22"/>
              </w:rPr>
              <w:t>Discretionary sale; not under 10b5-1 plan. Retains 13,219 shares.</w:t>
            </w:r>
          </w:p>
        </w:tc>
      </w:tr>
      <w:tr>
        <w:tc>
          <w:tcPr>
            <w:tcW w:type="dxa" w:w="1234"/>
          </w:tcPr>
          <w:p>
            <w:r>
              <w:rPr>
                <w:rFonts w:ascii="Calibri" w:hAnsi="Calibri"/>
                <w:sz w:val="22"/>
              </w:rPr>
              <w:t>Collins Arthur Reginald</w:t>
            </w:r>
          </w:p>
        </w:tc>
        <w:tc>
          <w:tcPr>
            <w:tcW w:type="dxa" w:w="1234"/>
          </w:tcPr>
          <w:p>
            <w:r>
              <w:rPr>
                <w:rFonts w:ascii="Calibri" w:hAnsi="Calibri"/>
                <w:sz w:val="22"/>
              </w:rPr>
              <w:t>Director</w:t>
            </w:r>
          </w:p>
        </w:tc>
        <w:tc>
          <w:tcPr>
            <w:tcW w:type="dxa" w:w="1234"/>
          </w:tcPr>
          <w:p>
            <w:r>
              <w:rPr>
                <w:rFonts w:ascii="Calibri" w:hAnsi="Calibri"/>
                <w:sz w:val="22"/>
              </w:rPr>
              <w:t>Open Market Sale</w:t>
            </w:r>
          </w:p>
        </w:tc>
        <w:tc>
          <w:tcPr>
            <w:tcW w:type="dxa" w:w="1234"/>
          </w:tcPr>
          <w:p>
            <w:r>
              <w:rPr>
                <w:rFonts w:ascii="Calibri" w:hAnsi="Calibri"/>
                <w:sz w:val="22"/>
              </w:rPr>
              <w:t>2,300</w:t>
            </w:r>
          </w:p>
        </w:tc>
        <w:tc>
          <w:tcPr>
            <w:tcW w:type="dxa" w:w="1234"/>
          </w:tcPr>
          <w:p>
            <w:r>
              <w:rPr>
                <w:rFonts w:ascii="Calibri" w:hAnsi="Calibri"/>
                <w:sz w:val="22"/>
              </w:rPr>
              <w:t>May 14, 2026</w:t>
            </w:r>
          </w:p>
        </w:tc>
        <w:tc>
          <w:tcPr>
            <w:tcW w:type="dxa" w:w="1234"/>
          </w:tcPr>
          <w:p>
            <w:r>
              <w:rPr>
                <w:rFonts w:ascii="Calibri" w:hAnsi="Calibri"/>
                <w:sz w:val="22"/>
              </w:rPr>
              <w:t>May 15, 2026</w:t>
            </w:r>
          </w:p>
        </w:tc>
        <w:tc>
          <w:tcPr>
            <w:tcW w:type="dxa" w:w="1234"/>
          </w:tcPr>
          <w:p>
            <w:r>
              <w:rPr>
                <w:rFonts w:ascii="Calibri" w:hAnsi="Calibri"/>
                <w:sz w:val="22"/>
              </w:rPr>
              <w:t>Discretionary sale; not under 10b5-1 plan. Retains 6,186 shares.</w:t>
            </w:r>
          </w:p>
        </w:tc>
      </w:tr>
      <w:tr>
        <w:tc>
          <w:tcPr>
            <w:tcW w:type="dxa" w:w="1234"/>
          </w:tcPr>
          <w:p>
            <w:r>
              <w:rPr>
                <w:rFonts w:ascii="Calibri" w:hAnsi="Calibri"/>
                <w:sz w:val="22"/>
              </w:rPr>
              <w:t>MOSKOWITZ JOSEPH L</w:t>
            </w:r>
          </w:p>
        </w:tc>
        <w:tc>
          <w:tcPr>
            <w:tcW w:type="dxa" w:w="1234"/>
          </w:tcPr>
          <w:p>
            <w:r>
              <w:rPr>
                <w:rFonts w:ascii="Calibri" w:hAnsi="Calibri"/>
                <w:sz w:val="22"/>
              </w:rPr>
              <w:t>Director</w:t>
            </w:r>
          </w:p>
        </w:tc>
        <w:tc>
          <w:tcPr>
            <w:tcW w:type="dxa" w:w="1234"/>
          </w:tcPr>
          <w:p>
            <w:r>
              <w:rPr>
                <w:rFonts w:ascii="Calibri" w:hAnsi="Calibri"/>
                <w:sz w:val="22"/>
              </w:rPr>
              <w:t>10b5-1 Planned Sale</w:t>
            </w:r>
          </w:p>
        </w:tc>
        <w:tc>
          <w:tcPr>
            <w:tcW w:type="dxa" w:w="1234"/>
          </w:tcPr>
          <w:p>
            <w:r>
              <w:rPr>
                <w:rFonts w:ascii="Calibri" w:hAnsi="Calibri"/>
                <w:sz w:val="22"/>
              </w:rPr>
              <w:t>600</w:t>
            </w:r>
          </w:p>
        </w:tc>
        <w:tc>
          <w:tcPr>
            <w:tcW w:type="dxa" w:w="1234"/>
          </w:tcPr>
          <w:p>
            <w:r>
              <w:rPr>
                <w:rFonts w:ascii="Calibri" w:hAnsi="Calibri"/>
                <w:sz w:val="22"/>
              </w:rPr>
              <w:t>May 8, 2026</w:t>
            </w:r>
          </w:p>
        </w:tc>
        <w:tc>
          <w:tcPr>
            <w:tcW w:type="dxa" w:w="1234"/>
          </w:tcPr>
          <w:p>
            <w:r>
              <w:rPr>
                <w:rFonts w:ascii="Calibri" w:hAnsi="Calibri"/>
                <w:sz w:val="22"/>
              </w:rPr>
              <w:t>May 11, 2026</w:t>
            </w:r>
          </w:p>
        </w:tc>
        <w:tc>
          <w:tcPr>
            <w:tcW w:type="dxa" w:w="1234"/>
          </w:tcPr>
          <w:p>
            <w:r>
              <w:rPr>
                <w:rFonts w:ascii="Calibri" w:hAnsi="Calibri"/>
                <w:sz w:val="22"/>
              </w:rPr>
              <w:t>Pre-planned sale under 10b5-1 plan.</w:t>
            </w:r>
          </w:p>
        </w:tc>
      </w:tr>
      <w:tr>
        <w:tc>
          <w:tcPr>
            <w:tcW w:type="dxa" w:w="1234"/>
          </w:tcPr>
          <w:p>
            <w:r>
              <w:rPr>
                <w:rFonts w:ascii="Calibri" w:hAnsi="Calibri"/>
                <w:sz w:val="22"/>
              </w:rPr>
              <w:t>Hosoda Miwako</w:t>
            </w:r>
          </w:p>
        </w:tc>
        <w:tc>
          <w:tcPr>
            <w:tcW w:type="dxa" w:w="1234"/>
          </w:tcPr>
          <w:p>
            <w:r>
              <w:rPr>
                <w:rFonts w:ascii="Calibri" w:hAnsi="Calibri"/>
                <w:sz w:val="22"/>
              </w:rPr>
              <w:t>Director</w:t>
            </w:r>
          </w:p>
        </w:tc>
        <w:tc>
          <w:tcPr>
            <w:tcW w:type="dxa" w:w="1234"/>
          </w:tcPr>
          <w:p>
            <w:r>
              <w:rPr>
                <w:rFonts w:ascii="Calibri" w:hAnsi="Calibri"/>
                <w:sz w:val="22"/>
              </w:rPr>
              <w:t>10b5-1 Planned Sale</w:t>
            </w:r>
          </w:p>
        </w:tc>
        <w:tc>
          <w:tcPr>
            <w:tcW w:type="dxa" w:w="1234"/>
          </w:tcPr>
          <w:p>
            <w:r>
              <w:rPr>
                <w:rFonts w:ascii="Calibri" w:hAnsi="Calibri"/>
                <w:sz w:val="22"/>
              </w:rPr>
              <w:t>243</w:t>
            </w:r>
          </w:p>
        </w:tc>
        <w:tc>
          <w:tcPr>
            <w:tcW w:type="dxa" w:w="1234"/>
          </w:tcPr>
          <w:p>
            <w:r>
              <w:rPr>
                <w:rFonts w:ascii="Calibri" w:hAnsi="Calibri"/>
                <w:sz w:val="22"/>
              </w:rPr>
              <w:t>May 6, 2026</w:t>
            </w:r>
          </w:p>
        </w:tc>
        <w:tc>
          <w:tcPr>
            <w:tcW w:type="dxa" w:w="1234"/>
          </w:tcPr>
          <w:p>
            <w:r>
              <w:rPr>
                <w:rFonts w:ascii="Calibri" w:hAnsi="Calibri"/>
                <w:sz w:val="22"/>
              </w:rPr>
              <w:t>May 7, 2026</w:t>
            </w:r>
          </w:p>
        </w:tc>
        <w:tc>
          <w:tcPr>
            <w:tcW w:type="dxa" w:w="1234"/>
          </w:tcPr>
          <w:p>
            <w:r>
              <w:rPr>
                <w:rFonts w:ascii="Calibri" w:hAnsi="Calibri"/>
                <w:sz w:val="22"/>
              </w:rPr>
              <w:t>Pre-planned sale under 10b5-1 plan. Very small transaction.</w:t>
            </w:r>
          </w:p>
        </w:tc>
      </w:tr>
    </w:tbl>
    <w:p>
      <w:r>
        <w:rPr>
          <w:rFonts w:ascii="Calibri" w:hAnsi="Calibri"/>
          <w:color w:val="525866"/>
          <w:sz w:val="22"/>
        </w:rPr>
        <w:t>Source: SEC Form 4 filings. Trade dates above reflect the actual transaction execution date (individual_transaction_date); Form 4 filing dates reflect when the transaction was disclosed to the SEC. Japan Post Holdings' sales are all under a pre-established 10b5-1 plan and represent a systematic reduction of their ~10% strategic stake — total shares sold from May 11 to June 22, 2026 approximate ~700,000 shares, reducing their holding from ~51.6M to ~50.9M shares. Among corporate insiders, the three director sales (Moskowitz, Lake, Kenny, Collins) are modest in size relative to their retained holdings and do not represent a meaningful bearish signal. No open-market purchases were recorded in the period.</w:t>
      </w:r>
    </w:p>
    <w:p>
      <w:r>
        <w:rPr>
          <w:rFonts w:ascii="Calibri" w:hAnsi="Calibri"/>
          <w:b/>
          <w:color w:val="525866"/>
          <w:sz w:val="22"/>
        </w:rPr>
        <w:t xml:space="preserve">Note on Japan Post Holdings: </w:t>
      </w:r>
      <w:r>
        <w:rPr>
          <w:rFonts w:ascii="Calibri" w:hAnsi="Calibri"/>
          <w:color w:val="525866"/>
          <w:sz w:val="22"/>
        </w:rPr>
        <w:t>Japan Post Holdings is both a strategic partner (AFL's external reinsurance franchise launched with Japan Post Insurance) and a selling shareholder. The ongoing stake reduction is consistent with Japan Post's broader portfolio management and does not reflect a change in the strategic relationship between the two companies.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