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ig-earnings-predictions--2026-08-06"/>
    <w:p>
      <w:pPr>
        <w:pStyle w:val="Heading1"/>
      </w:pPr>
      <w:r>
        <w:t xml:space="preserve">AIG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~$1.98 vs. cons $1.92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General Insurance calendar-year combined ratio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~88.0% vs. cons ~89.3%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General Insurance NPW growth, constant-dollar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~16% vs. cons ~13%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~$8.10 vs. cons $8.00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General Insurance NPW growth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~mid-teens 15% vs. cons low-to-mid-teens 12%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Other Operations core NII guide (Q3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~$35M vs. cons $35M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AIG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+2.5% (FOLLOW-THROUGH)</w:t>
            </w:r>
          </w:p>
        </w:tc>
        <w:tc>
          <w:tcPr/>
          <w:p>
            <w:pPr>
              <w:pStyle w:val="Compact"/>
            </w:pPr>
            <w:r>
              <w:t xml:space="preserve">A likely EPS/combined-ratio beat plus reiterated-or-raised FY26 NPW growth guidance and accelerated buyback (Corebridge proceeds now fully deployable) should push consensus EPS revisions higher over the following days rather than fade, since the out-period math (Everest/Convex accretion continuing, expense ratio structurally below 30%, dividend growth) supports durable estimate upgrades; the main fade risk is if property-market softness/casualty reserve commentary reintroduces mix-shift concerns, but base case is follow-through given the multi-quarter beat streak and improving capital-return story.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2026-08-06T01:22:12Z</dcterms:created>
  <dcterms:modified xsi:type="dcterms:W3CDTF">2026-08-06T01:22:12Z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