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g-earnings-predictions--2026-08-06"/>
    <w:p>
      <w:pPr>
        <w:pStyle w:val="Heading1"/>
      </w:pPr>
      <w:r>
        <w:t xml:space="preserve">AIG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 vs. cons $1.93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accident-year combined ratio, adjusted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~87.2% vs. cons 87.6%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net premiums written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~$6.08B vs. cons $6.00B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General Insurance net-premium-written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~14% vs. cons 14%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General Insurance expense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~29.2% vs. cons 29.4%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~20%+ vs. cons 20% (2025–2027)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+1.3% (FADE)</w:t>
            </w:r>
          </w:p>
        </w:tc>
        <w:tc>
          <w:tcPr/>
          <w:p>
            <w:pPr>
              <w:pStyle w:val="Compact"/>
            </w:pPr>
            <w:r>
              <w:t xml:space="preserve">A modest EPS beat of ~$1.99 vs. $1.93 and premium upside should support day 1, but unchanged ~14% vs. 14% FY2026 premium-growth expectations and softer property pricing limit out-period estimate revisions, causing part of the initial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2026-08-06T01:21:49Z</dcterms:created>
  <dcterms:modified xsi:type="dcterms:W3CDTF">2026-08-06T01:21:49Z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