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ig-2026-q2-earnings-preview"/>
    <w:p>
      <w:pPr>
        <w:pStyle w:val="Heading1"/>
      </w:pPr>
      <w:r>
        <w:t xml:space="preserve">AIG 2026 Q2 Earnings Preview</w:t>
      </w:r>
    </w:p>
    <w:p>
      <w:pPr>
        <w:pStyle w:val="BlockText"/>
      </w:pPr>
      <w:r>
        <w:rPr>
          <w:b/>
          <w:bCs/>
        </w:rPr>
        <w:t xml:space="preserve">Timing clarification:</w:t>
      </w:r>
      <w:r>
        <w:t xml:space="preserve"> </w:t>
      </w:r>
      <w:r>
        <w:t xml:space="preserve">AIG is scheduled to release results</w:t>
      </w:r>
      <w:r>
        <w:t xml:space="preserve"> </w:t>
      </w:r>
      <w:r>
        <w:rPr>
          <w:b/>
          <w:bCs/>
        </w:rPr>
        <w:t xml:space="preserve">today, Thursday, August 6, 2026, after the market closes</w:t>
      </w:r>
      <w:r>
        <w:t xml:space="preserve">. The earnings call is</w:t>
      </w:r>
      <w:r>
        <w:t xml:space="preserve"> </w:t>
      </w:r>
      <w:r>
        <w:rPr>
          <w:b/>
          <w:bCs/>
        </w:rPr>
        <w:t xml:space="preserve">tomorrow, Friday, August 7, at 8:30 a.m. ET</w:t>
      </w:r>
      <w:r>
        <w:t xml:space="preserve">. (</w:t>
      </w:r>
      <w:hyperlink r:id="rId9">
        <w:r>
          <w:rPr>
            <w:rStyle w:val="Hyperlink"/>
          </w:rPr>
          <w:t xml:space="preserve">aig.gcs-web.com</w:t>
        </w:r>
      </w:hyperlink>
      <w:r>
        <w:t xml:space="preserve">)</w:t>
      </w:r>
    </w:p>
    <w:bookmarkStart w:id="11" w:name="executive-view"/>
    <w:p>
      <w:pPr>
        <w:pStyle w:val="Heading2"/>
      </w:pPr>
      <w:r>
        <w:t xml:space="preserve">Executive view</w:t>
      </w:r>
    </w:p>
    <w:p>
      <w:pPr>
        <w:pStyle w:val="FirstParagraph"/>
      </w:pPr>
      <w:r>
        <w:t xml:space="preserve">AIG enters the quarter with strong operating momentum, but the earnings debate is shifting from</w:t>
      </w:r>
      <w:r>
        <w:t xml:space="preserve"> </w:t>
      </w:r>
      <w:r>
        <w:rPr>
          <w:b/>
          <w:bCs/>
        </w:rPr>
        <w:t xml:space="preserve">turnaround execution</w:t>
      </w:r>
      <w:r>
        <w:t xml:space="preserve"> </w:t>
      </w:r>
      <w:r>
        <w:t xml:space="preserve">to</w:t>
      </w:r>
      <w:r>
        <w:t xml:space="preserve"> </w:t>
      </w:r>
      <w:r>
        <w:rPr>
          <w:b/>
          <w:bCs/>
        </w:rPr>
        <w:t xml:space="preserve">earnings durability in a softening commercial-insurance market</w:t>
      </w:r>
      <w:r>
        <w:t xml:space="preserve">.</w:t>
      </w:r>
    </w:p>
    <w:p>
      <w:pPr>
        <w:pStyle w:val="BodyText"/>
      </w:pPr>
      <w:r>
        <w:t xml:space="preserve">The first quarter set a demanding benchmark: adjusted EPS of</w:t>
      </w:r>
      <w:r>
        <w:t xml:space="preserve"> </w:t>
      </w:r>
      <m:oMath>
        <m:r>
          <m:t>2.11</m:t>
        </m:r>
        <m:r>
          <m:rPr>
            <m:sty m:val="p"/>
          </m:rPr>
          <m:t>,</m:t>
        </m:r>
        <m:r>
          <m:t>a</m:t>
        </m:r>
        <m:r>
          <m:t>n</m:t>
        </m:r>
        <m:r>
          <m:t>86.6</m:t>
        </m:r>
      </m:oMath>
      <w:r>
        <w:t xml:space="preserve">1.92–</w:t>
      </w:r>
      <m:oMath>
        <m:r>
          <m:t>1.93</m:t>
        </m:r>
        <m:r>
          <m:rPr>
            <m:sty m:val="p"/>
          </m:rPr>
          <m:t>*</m:t>
        </m:r>
        <m:r>
          <m:rPr>
            <m:sty m:val="p"/>
          </m:rPr>
          <m:t>*</m:t>
        </m:r>
        <m:r>
          <m:rPr>
            <m:sty m:val="p"/>
          </m:rPr>
          <m:t>,</m:t>
        </m:r>
        <m:r>
          <m:t>w</m:t>
        </m:r>
        <m:r>
          <m:t>h</m:t>
        </m:r>
        <m:r>
          <m:t>i</m:t>
        </m:r>
        <m:r>
          <m:t>l</m:t>
        </m:r>
        <m:r>
          <m:t>e</m:t>
        </m:r>
        <m:r>
          <m:t>t</m:t>
        </m:r>
        <m:r>
          <m:t>h</m:t>
        </m:r>
        <m:r>
          <m:t>e</m:t>
        </m:r>
        <m:r>
          <m:t>f</m:t>
        </m:r>
        <m:r>
          <m:t>u</m:t>
        </m:r>
        <m:r>
          <m:t>l</m:t>
        </m:r>
        <m:r>
          <m:t>l</m:t>
        </m:r>
        <m:r>
          <m:rPr>
            <m:sty m:val="p"/>
          </m:rPr>
          <m:t>−</m:t>
        </m:r>
        <m:r>
          <m:t>y</m:t>
        </m:r>
        <m:r>
          <m:t>e</m:t>
        </m:r>
        <m:r>
          <m:t>a</m:t>
        </m:r>
        <m:r>
          <m:t>r</m:t>
        </m:r>
        <m:r>
          <m:t>c</m:t>
        </m:r>
        <m:r>
          <m:t>o</m:t>
        </m:r>
        <m:r>
          <m:t>n</m:t>
        </m:r>
        <m:r>
          <m:t>s</m:t>
        </m:r>
        <m:r>
          <m:t>e</m:t>
        </m:r>
        <m:r>
          <m:t>n</m:t>
        </m:r>
        <m:r>
          <m:t>s</m:t>
        </m:r>
        <m:r>
          <m:t>u</m:t>
        </m:r>
        <m:r>
          <m:t>s</m:t>
        </m:r>
        <m:r>
          <m:t>i</m:t>
        </m:r>
        <m:r>
          <m:t>s</m:t>
        </m:r>
        <m:r>
          <m:t>a</m:t>
        </m:r>
        <m:r>
          <m:t>r</m:t>
        </m:r>
        <m:r>
          <m:t>o</m:t>
        </m:r>
        <m:r>
          <m:t>u</m:t>
        </m:r>
        <m:r>
          <m:t>n</m:t>
        </m:r>
        <m:r>
          <m:t>d</m:t>
        </m:r>
        <m:r>
          <m:rPr>
            <m:sty m:val="p"/>
          </m:rPr>
          <m:t>*</m:t>
        </m:r>
        <m:r>
          <m:rPr>
            <m:sty m:val="p"/>
          </m:rPr>
          <m:t>*</m:t>
        </m:r>
      </m:oMath>
      <w:r>
        <w:t xml:space="preserve">8.00 per share**. (</w:t>
      </w:r>
      <w:hyperlink r:id="rId10">
        <w:r>
          <w:rPr>
            <w:rStyle w:val="Hyperlink"/>
          </w:rPr>
          <w:t xml:space="preserve">barchart.com</w:t>
        </w:r>
      </w:hyperlink>
      <w:r>
        <w:t xml:space="preserve">)</w:t>
      </w:r>
    </w:p>
    <w:p>
      <w:pPr>
        <w:pStyle w:val="BodyText"/>
      </w:pPr>
      <w:r>
        <w:t xml:space="preserve">The headline EPS beat or miss will matter, but investors should focus more heavily on:</w:t>
      </w:r>
    </w:p>
    <w:p>
      <w:pPr>
        <w:pStyle w:val="Compact"/>
        <w:numPr>
          <w:ilvl w:val="0"/>
          <w:numId w:val="1001"/>
        </w:numPr>
      </w:pPr>
      <w:r>
        <w:t xml:space="preserve">Whether underlying underwriting margins remain in the mid-to-high 80s.</w:t>
      </w:r>
    </w:p>
    <w:p>
      <w:pPr>
        <w:pStyle w:val="Compact"/>
        <w:numPr>
          <w:ilvl w:val="0"/>
          <w:numId w:val="1001"/>
        </w:numPr>
      </w:pPr>
      <w:r>
        <w:t xml:space="preserve">How much of premium growth is sustainable rather than transaction- or reinsurance-driven.</w:t>
      </w:r>
    </w:p>
    <w:p>
      <w:pPr>
        <w:pStyle w:val="Compact"/>
        <w:numPr>
          <w:ilvl w:val="0"/>
          <w:numId w:val="1001"/>
        </w:numPr>
      </w:pPr>
      <w:r>
        <w:t xml:space="preserve">Whether property-market softness is spreading into casualty.</w:t>
      </w:r>
    </w:p>
    <w:p>
      <w:pPr>
        <w:pStyle w:val="Compact"/>
        <w:numPr>
          <w:ilvl w:val="0"/>
          <w:numId w:val="1001"/>
        </w:numPr>
      </w:pPr>
      <w:r>
        <w:t xml:space="preserve">Continued improvement in Global Personal Insurance.</w:t>
      </w:r>
    </w:p>
    <w:p>
      <w:pPr>
        <w:pStyle w:val="Compact"/>
        <w:numPr>
          <w:ilvl w:val="0"/>
          <w:numId w:val="1001"/>
        </w:numPr>
      </w:pPr>
      <w:r>
        <w:t xml:space="preserve">Capital returns following AIG’s final Corebridge exit.</w:t>
      </w:r>
    </w:p>
    <w:p>
      <w:pPr>
        <w:pStyle w:val="Compact"/>
        <w:numPr>
          <w:ilvl w:val="0"/>
          <w:numId w:val="1001"/>
        </w:numPr>
      </w:pPr>
      <w:r>
        <w:t xml:space="preserve">Eric Andersen’s priorities on his first quarterly call as CEO.</w:t>
      </w:r>
    </w:p>
    <w:bookmarkEnd w:id="11"/>
    <w:bookmarkStart w:id="13" w:name="earnings-setup"/>
    <w:p>
      <w:pPr>
        <w:pStyle w:val="Heading2"/>
      </w:pPr>
      <w:r>
        <w:t xml:space="preserve">Earnings setup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result</w:t>
            </w:r>
          </w:p>
        </w:tc>
        <w:tc>
          <w:tcPr/>
          <w:p>
            <w:pPr>
              <w:pStyle w:val="Compact"/>
            </w:pPr>
            <w:r>
              <w:t xml:space="preserve">Q2 issue</w:t>
            </w:r>
          </w:p>
        </w:tc>
      </w:tr>
      <w:tr>
        <w:tc>
          <w:tcPr/>
          <w:p>
            <w:pPr>
              <w:pStyle w:val="Compact"/>
            </w:pPr>
            <w:r>
              <w:t xml:space="preserve">Adjusted EPS</w:t>
            </w:r>
          </w:p>
        </w:tc>
        <w:tc>
          <w:tcPr/>
          <w:p>
            <w:pPr>
              <w:pStyle w:val="Compact"/>
              <w:jc w:val="right"/>
            </w:pPr>
            <w:r>
              <w:t xml:space="preserve">$2.11</w:t>
            </w:r>
          </w:p>
        </w:tc>
        <w:tc>
          <w:tcPr/>
          <w:p>
            <w:pPr>
              <w:pStyle w:val="Compact"/>
            </w:pPr>
            <w:r>
              <w:t xml:space="preserve">Consensus approximately</w:t>
            </w:r>
            <w:r>
              <w:t xml:space="preserve"> </w:t>
            </w:r>
            <m:oMath>
              <m:r>
                <m:t>1.92</m:t>
              </m:r>
              <m:r>
                <m:rPr>
                  <m:sty m:val="p"/>
                </m:rPr>
                <m:t>–</m:t>
              </m:r>
            </m:oMath>
            <w:r>
              <w:t xml:space="preserve">1.93</w:t>
            </w:r>
          </w:p>
        </w:tc>
      </w:tr>
      <w:tr>
        <w:tc>
          <w:tcPr/>
          <w:p>
            <w:pPr>
              <w:pStyle w:val="Compact"/>
            </w:pPr>
            <w:r>
              <w:t xml:space="preserve">General Insurance net premiums written</w:t>
            </w:r>
          </w:p>
        </w:tc>
        <w:tc>
          <w:tcPr/>
          <w:p>
            <w:pPr>
              <w:pStyle w:val="Compact"/>
              <w:jc w:val="right"/>
            </w:pPr>
            <w:r>
              <w:t xml:space="preserve">$5.6B, +18% constant currency</w:t>
            </w:r>
          </w:p>
        </w:tc>
        <w:tc>
          <w:tcPr/>
          <w:p>
            <w:pPr>
              <w:pStyle w:val="Compact"/>
            </w:pPr>
            <w:r>
              <w:t xml:space="preserve">Can AIG maintain low-to-mid-teens FY growth?</w:t>
            </w:r>
          </w:p>
        </w:tc>
      </w:tr>
      <w:tr>
        <w:tc>
          <w:tcPr/>
          <w:p>
            <w:pPr>
              <w:pStyle w:val="Compact"/>
            </w:pPr>
            <w:r>
              <w:t xml:space="preserve">Underlying combined ratio</w:t>
            </w:r>
          </w:p>
        </w:tc>
        <w:tc>
          <w:tcPr/>
          <w:p>
            <w:pPr>
              <w:pStyle w:val="Compact"/>
              <w:jc w:val="right"/>
            </w:pPr>
            <w:r>
              <w:t xml:space="preserve">86.6%</w:t>
            </w:r>
          </w:p>
        </w:tc>
        <w:tc>
          <w:tcPr/>
          <w:p>
            <w:pPr>
              <w:pStyle w:val="Compact"/>
            </w:pPr>
            <w:r>
              <w:t xml:space="preserve">Margin durability amid softer pricing</w:t>
            </w:r>
          </w:p>
        </w:tc>
      </w:tr>
      <w:tr>
        <w:tc>
          <w:tcPr/>
          <w:p>
            <w:pPr>
              <w:pStyle w:val="Compact"/>
            </w:pPr>
            <w:r>
              <w:t xml:space="preserve">Underlying loss ratio</w:t>
            </w:r>
          </w:p>
        </w:tc>
        <w:tc>
          <w:tcPr/>
          <w:p>
            <w:pPr>
              <w:pStyle w:val="Compact"/>
              <w:jc w:val="right"/>
            </w:pPr>
            <w:r>
              <w:t xml:space="preserve">57.3%</w:t>
            </w:r>
          </w:p>
        </w:tc>
        <w:tc>
          <w:tcPr/>
          <w:p>
            <w:pPr>
              <w:pStyle w:val="Compact"/>
            </w:pPr>
            <w:r>
              <w:t xml:space="preserve">Business mix and property-price pressure</w:t>
            </w:r>
          </w:p>
        </w:tc>
      </w:tr>
      <w:tr>
        <w:tc>
          <w:tcPr/>
          <w:p>
            <w:pPr>
              <w:pStyle w:val="Compact"/>
            </w:pPr>
            <w:r>
              <w:t xml:space="preserve">Expense ratio</w:t>
            </w:r>
          </w:p>
        </w:tc>
        <w:tc>
          <w:tcPr/>
          <w:p>
            <w:pPr>
              <w:pStyle w:val="Compact"/>
              <w:jc w:val="right"/>
            </w:pPr>
            <w:r>
              <w:t xml:space="preserve">29.3%</w:t>
            </w:r>
          </w:p>
        </w:tc>
        <w:tc>
          <w:tcPr/>
          <w:p>
            <w:pPr>
              <w:pStyle w:val="Compact"/>
            </w:pPr>
            <w:r>
              <w:t xml:space="preserve">Operating leverage from earned-premium growth</w:t>
            </w:r>
          </w:p>
        </w:tc>
      </w:tr>
      <w:tr>
        <w:tc>
          <w:tcPr/>
          <w:p>
            <w:pPr>
              <w:pStyle w:val="Compact"/>
            </w:pPr>
            <w:r>
              <w:t xml:space="preserve">Catastrophe losses</w:t>
            </w:r>
          </w:p>
        </w:tc>
        <w:tc>
          <w:tcPr/>
          <w:p>
            <w:pPr>
              <w:pStyle w:val="Compact"/>
              <w:jc w:val="right"/>
            </w:pPr>
            <w:r>
              <w:t xml:space="preserve">$180M</w:t>
            </w:r>
          </w:p>
        </w:tc>
        <w:tc>
          <w:tcPr/>
          <w:p>
            <w:pPr>
              <w:pStyle w:val="Compact"/>
            </w:pPr>
            <w:r>
              <w:t xml:space="preserve">Q2 severe-convective-storm exposure</w:t>
            </w:r>
          </w:p>
        </w:tc>
      </w:tr>
      <w:tr>
        <w:tc>
          <w:tcPr/>
          <w:p>
            <w:pPr>
              <w:pStyle w:val="Compact"/>
            </w:pPr>
            <w:r>
              <w:t xml:space="preserve">General Insurance investment income</w:t>
            </w:r>
          </w:p>
        </w:tc>
        <w:tc>
          <w:tcPr/>
          <w:p>
            <w:pPr>
              <w:pStyle w:val="Compact"/>
              <w:jc w:val="right"/>
            </w:pPr>
            <w:r>
              <w:t xml:space="preserve">$864M, +17%</w:t>
            </w:r>
          </w:p>
        </w:tc>
        <w:tc>
          <w:tcPr/>
          <w:p>
            <w:pPr>
              <w:pStyle w:val="Compact"/>
            </w:pPr>
            <w:r>
              <w:t xml:space="preserve">Fixed-income growth versus weaker alternatives</w:t>
            </w:r>
          </w:p>
        </w:tc>
      </w:tr>
      <w:tr>
        <w:tc>
          <w:tcPr/>
          <w:p>
            <w:pPr>
              <w:pStyle w:val="Compact"/>
            </w:pPr>
            <w:r>
              <w:t xml:space="preserve">Core operating ROE</w:t>
            </w:r>
          </w:p>
        </w:tc>
        <w:tc>
          <w:tcPr/>
          <w:p>
            <w:pPr>
              <w:pStyle w:val="Compact"/>
              <w:jc w:val="right"/>
            </w:pPr>
            <w:r>
              <w:t xml:space="preserve">12.2%</w:t>
            </w:r>
          </w:p>
        </w:tc>
        <w:tc>
          <w:tcPr/>
          <w:p>
            <w:pPr>
              <w:pStyle w:val="Compact"/>
            </w:pPr>
            <w:r>
              <w:t xml:space="preserve">Sustainability inside the 10%–13% target range</w:t>
            </w:r>
          </w:p>
        </w:tc>
      </w:tr>
      <w:tr>
        <w:tc>
          <w:tcPr/>
          <w:p>
            <w:pPr>
              <w:pStyle w:val="Compact"/>
            </w:pPr>
            <w:r>
              <w:t xml:space="preserve">Adjusted tangible book value/share</w:t>
            </w:r>
          </w:p>
        </w:tc>
        <w:tc>
          <w:tcPr/>
          <w:p>
            <w:pPr>
              <w:pStyle w:val="Compact"/>
              <w:jc w:val="right"/>
            </w:pPr>
            <w:r>
              <w:t xml:space="preserve">$70.85</w:t>
            </w:r>
          </w:p>
        </w:tc>
        <w:tc>
          <w:tcPr/>
          <w:p>
            <w:pPr>
              <w:pStyle w:val="Compact"/>
            </w:pPr>
            <w:r>
              <w:t xml:space="preserve">Book-value growth and buyback accretion</w:t>
            </w:r>
          </w:p>
        </w:tc>
      </w:tr>
    </w:tbl>
    <w:p>
      <w:pPr>
        <w:pStyle w:val="BodyText"/>
      </w:pPr>
      <w:r>
        <w:t xml:space="preserve">Q1 results benefited from lower catastrophe losses, favorable prior-year reserve development and an improving expense ratio. The more revealing Q2 comparison will therefore be the</w:t>
      </w:r>
      <w:r>
        <w:t xml:space="preserve"> </w:t>
      </w:r>
      <w:r>
        <w:rPr>
          <w:b/>
          <w:bCs/>
        </w:rPr>
        <w:t xml:space="preserve">accident-year combined ratio excluding catastrophes and reserve development</w:t>
      </w:r>
      <w:r>
        <w:t xml:space="preserve">, not the reported calendar-year ratio. (</w:t>
      </w:r>
      <w:hyperlink r:id="rId12">
        <w:r>
          <w:rPr>
            <w:rStyle w:val="Hyperlink"/>
          </w:rPr>
          <w:t xml:space="preserve">aig.gcs-web.com</w:t>
        </w:r>
      </w:hyperlink>
      <w:r>
        <w:t xml:space="preserve">)</w:t>
      </w:r>
    </w:p>
    <w:bookmarkEnd w:id="13"/>
    <w:bookmarkStart w:id="14" w:name="Xff576737e043c400484b0e7cfd05e8e84a9f2d9"/>
    <w:p>
      <w:pPr>
        <w:pStyle w:val="Heading2"/>
      </w:pPr>
      <w:r>
        <w:t xml:space="preserve">1. Underwriting margins are the central question</w:t>
      </w:r>
    </w:p>
    <w:p>
      <w:pPr>
        <w:pStyle w:val="FirstParagraph"/>
      </w:pPr>
      <w:r>
        <w:t xml:space="preserve">AIG’s Q1 underlying combined ratio of 86.6% was excellent, with the entire year-over-year improvement coming from a lower expense ratio; the underlying loss ratio was unchanged at 57.3%.</w:t>
      </w:r>
    </w:p>
    <w:p>
      <w:pPr>
        <w:pStyle w:val="BodyText"/>
      </w:pPr>
      <w:r>
        <w:t xml:space="preserve">For Q2, a result around</w:t>
      </w:r>
      <w:r>
        <w:t xml:space="preserve"> </w:t>
      </w:r>
      <w:r>
        <w:rPr>
          <w:b/>
          <w:bCs/>
        </w:rPr>
        <w:t xml:space="preserve">86%–88%</w:t>
      </w:r>
      <w:r>
        <w:t xml:space="preserve"> </w:t>
      </w:r>
      <w:r>
        <w:t xml:space="preserve">would support the thesis that AIG can absorb business-mix changes and softer property pricing through earned-premium growth and expense discipline. A move toward or above</w:t>
      </w:r>
      <w:r>
        <w:t xml:space="preserve"> </w:t>
      </w:r>
      <w:r>
        <w:rPr>
          <w:b/>
          <w:bCs/>
        </w:rPr>
        <w:t xml:space="preserve">89%</w:t>
      </w:r>
      <w:r>
        <w:t xml:space="preserve"> </w:t>
      </w:r>
      <w:r>
        <w:t xml:space="preserve">would warrant closer examination, particularly if driven by attritional property losses or weaker pricing rather than one-time items.</w:t>
      </w:r>
    </w:p>
    <w:p>
      <w:pPr>
        <w:pStyle w:val="BodyText"/>
      </w:pPr>
      <w:r>
        <w:t xml:space="preserve">Investors should separate:</w:t>
      </w:r>
    </w:p>
    <w:p>
      <w:pPr>
        <w:pStyle w:val="Compact"/>
        <w:numPr>
          <w:ilvl w:val="0"/>
          <w:numId w:val="1002"/>
        </w:numPr>
      </w:pPr>
      <w:r>
        <w:rPr>
          <w:b/>
          <w:bCs/>
        </w:rPr>
        <w:t xml:space="preserve">Underlying loss-ratio movement</w:t>
      </w:r>
    </w:p>
    <w:p>
      <w:pPr>
        <w:pStyle w:val="Compact"/>
        <w:numPr>
          <w:ilvl w:val="0"/>
          <w:numId w:val="1002"/>
        </w:numPr>
      </w:pPr>
      <w:r>
        <w:rPr>
          <w:b/>
          <w:bCs/>
        </w:rPr>
        <w:t xml:space="preserve">Catastrophe losses</w:t>
      </w:r>
    </w:p>
    <w:p>
      <w:pPr>
        <w:pStyle w:val="Compact"/>
        <w:numPr>
          <w:ilvl w:val="0"/>
          <w:numId w:val="1002"/>
        </w:numPr>
      </w:pPr>
      <w:r>
        <w:rPr>
          <w:b/>
          <w:bCs/>
        </w:rPr>
        <w:t xml:space="preserve">Prior-year reserve development</w:t>
      </w:r>
    </w:p>
    <w:p>
      <w:pPr>
        <w:pStyle w:val="Compact"/>
        <w:numPr>
          <w:ilvl w:val="0"/>
          <w:numId w:val="1002"/>
        </w:numPr>
      </w:pPr>
      <w:r>
        <w:rPr>
          <w:b/>
          <w:bCs/>
        </w:rPr>
        <w:t xml:space="preserve">Expense-ratio improvement</w:t>
      </w:r>
    </w:p>
    <w:p>
      <w:pPr>
        <w:pStyle w:val="FirstParagraph"/>
      </w:pPr>
      <w:r>
        <w:t xml:space="preserve">A strong reported combined ratio accompanied by unusually high favorable reserve development would be less convincing than stable underlying margins.</w:t>
      </w:r>
    </w:p>
    <w:bookmarkEnd w:id="14"/>
    <w:bookmarkStart w:id="15" w:name="X19149e177d93b0a03fcb2c13c0ef6c6152290fa"/>
    <w:p>
      <w:pPr>
        <w:pStyle w:val="Heading2"/>
      </w:pPr>
      <w:r>
        <w:t xml:space="preserve">2. Premium growth: quantity versus quality</w:t>
      </w:r>
    </w:p>
    <w:p>
      <w:pPr>
        <w:pStyle w:val="FirstParagraph"/>
      </w:pPr>
      <w:r>
        <w:t xml:space="preserve">Management maintained a</w:t>
      </w:r>
      <w:r>
        <w:t xml:space="preserve"> </w:t>
      </w:r>
      <w:r>
        <w:rPr>
          <w:b/>
          <w:bCs/>
        </w:rPr>
        <w:t xml:space="preserve">low-to-mid-teens General Insurance net-premium-growth outlook for 2026</w:t>
      </w:r>
      <w:r>
        <w:t xml:space="preserve"> </w:t>
      </w:r>
      <w:r>
        <w:t xml:space="preserve">after Q1. However, Q1’s 18% constant-currency growth reflected several factors:</w:t>
      </w:r>
    </w:p>
    <w:p>
      <w:pPr>
        <w:pStyle w:val="Compact"/>
        <w:numPr>
          <w:ilvl w:val="0"/>
          <w:numId w:val="1003"/>
        </w:numPr>
      </w:pPr>
      <w:r>
        <w:t xml:space="preserve">Organic growth in targeted casualty and specialty lines</w:t>
      </w:r>
    </w:p>
    <w:p>
      <w:pPr>
        <w:pStyle w:val="Compact"/>
        <w:numPr>
          <w:ilvl w:val="0"/>
          <w:numId w:val="1003"/>
        </w:numPr>
      </w:pPr>
      <w:r>
        <w:t xml:space="preserve">Everest renewal-rights business</w:t>
      </w:r>
    </w:p>
    <w:p>
      <w:pPr>
        <w:pStyle w:val="Compact"/>
        <w:numPr>
          <w:ilvl w:val="0"/>
          <w:numId w:val="1003"/>
        </w:numPr>
      </w:pPr>
      <w:r>
        <w:t xml:space="preserve">Changes to AIG’s reinsurance programs</w:t>
      </w:r>
    </w:p>
    <w:p>
      <w:pPr>
        <w:pStyle w:val="Compact"/>
        <w:numPr>
          <w:ilvl w:val="0"/>
          <w:numId w:val="1003"/>
        </w:numPr>
      </w:pPr>
      <w:r>
        <w:t xml:space="preserve">Convex-related business</w:t>
      </w:r>
    </w:p>
    <w:p>
      <w:pPr>
        <w:pStyle w:val="Compact"/>
        <w:numPr>
          <w:ilvl w:val="0"/>
          <w:numId w:val="1003"/>
        </w:numPr>
      </w:pPr>
      <w:r>
        <w:t xml:space="preserve">Global Personal growth and treaty restructuring</w:t>
      </w:r>
    </w:p>
    <w:p>
      <w:pPr>
        <w:pStyle w:val="FirstParagraph"/>
      </w:pPr>
      <w:r>
        <w:t xml:space="preserve">Net premiums earned grew only 5% in Q1, creating a potentially favorable setup as written-premium growth earns into revenue during the second half of 2026 and into 2027.</w:t>
      </w:r>
    </w:p>
    <w:p>
      <w:pPr>
        <w:pStyle w:val="BodyText"/>
      </w:pPr>
      <w:r>
        <w:t xml:space="preserve">The key Q2 questions are:</w:t>
      </w:r>
    </w:p>
    <w:p>
      <w:pPr>
        <w:pStyle w:val="Compact"/>
        <w:numPr>
          <w:ilvl w:val="0"/>
          <w:numId w:val="1004"/>
        </w:numPr>
      </w:pPr>
      <w:r>
        <w:t xml:space="preserve">How much growth came from</w:t>
      </w:r>
      <w:r>
        <w:t xml:space="preserve"> </w:t>
      </w:r>
      <w:r>
        <w:rPr>
          <w:b/>
          <w:bCs/>
        </w:rPr>
        <w:t xml:space="preserve">organic exposure and rate</w:t>
      </w:r>
      <w:r>
        <w:t xml:space="preserve">?</w:t>
      </w:r>
    </w:p>
    <w:p>
      <w:pPr>
        <w:pStyle w:val="Compact"/>
        <w:numPr>
          <w:ilvl w:val="0"/>
          <w:numId w:val="1004"/>
        </w:numPr>
      </w:pPr>
      <w:r>
        <w:t xml:space="preserve">How much came from</w:t>
      </w:r>
      <w:r>
        <w:t xml:space="preserve"> </w:t>
      </w:r>
      <w:r>
        <w:rPr>
          <w:b/>
          <w:bCs/>
        </w:rPr>
        <w:t xml:space="preserve">reinsurance changes or acquired renewal rights</w:t>
      </w:r>
      <w:r>
        <w:t xml:space="preserve">?</w:t>
      </w:r>
    </w:p>
    <w:p>
      <w:pPr>
        <w:pStyle w:val="Compact"/>
        <w:numPr>
          <w:ilvl w:val="0"/>
          <w:numId w:val="1004"/>
        </w:numPr>
      </w:pPr>
      <w:r>
        <w:t xml:space="preserve">Is Everest retention still within expectations?</w:t>
      </w:r>
    </w:p>
    <w:p>
      <w:pPr>
        <w:pStyle w:val="Compact"/>
        <w:numPr>
          <w:ilvl w:val="0"/>
          <w:numId w:val="1004"/>
        </w:numPr>
      </w:pPr>
      <w:r>
        <w:t xml:space="preserve">Are expected loss ratios on the converted Everest portfolio comparable to AIG’s existing book?</w:t>
      </w:r>
    </w:p>
    <w:p>
      <w:pPr>
        <w:pStyle w:val="Compact"/>
        <w:numPr>
          <w:ilvl w:val="0"/>
          <w:numId w:val="1004"/>
        </w:numPr>
      </w:pPr>
      <w:r>
        <w:t xml:space="preserve">Does management still expect low-to-mid-teens full-year growth?</w:t>
      </w:r>
    </w:p>
    <w:p>
      <w:pPr>
        <w:pStyle w:val="FirstParagraph"/>
      </w:pPr>
      <w:r>
        <w:t xml:space="preserve">Growth below guidance would not automatically be negative if it reflects disciplined reductions in underpriced property business. Conversely, high growth paired with a weaker loss ratio would be a concern.</w:t>
      </w:r>
    </w:p>
    <w:bookmarkEnd w:id="15"/>
    <w:bookmarkStart w:id="17" w:name="Xd44ba9b923ec75e25ab6946000ea09a1c5697e9"/>
    <w:p>
      <w:pPr>
        <w:pStyle w:val="Heading2"/>
      </w:pPr>
      <w:r>
        <w:t xml:space="preserve">3. Property pricing is the primary operating risk</w:t>
      </w:r>
    </w:p>
    <w:p>
      <w:pPr>
        <w:pStyle w:val="FirstParagraph"/>
      </w:pPr>
      <w:r>
        <w:t xml:space="preserve">In Q1, AIG reported an 11% decline in North American property pricing and said it was contracting Lexington’s large-account shared-and-layered portfolio. That portfolio represents less than 10% of AIG’s global property book, but it is an important indicator of market discipline.</w:t>
      </w:r>
    </w:p>
    <w:p>
      <w:pPr>
        <w:pStyle w:val="BodyText"/>
      </w:pPr>
      <w:r>
        <w:t xml:space="preserve">Industry evidence suggests the pressure intensified during Q2. Marsh reported that global commercial insurance rates fell an average of 6%, including a 12% decline in property rates, while casualty rates rose only 2%. Chubb also described large-account and E&amp;S property conditions as overly soft and warned that softness was reaching portions of casualty. (</w:t>
      </w:r>
      <w:hyperlink r:id="rId16">
        <w:r>
          <w:rPr>
            <w:rStyle w:val="Hyperlink"/>
          </w:rPr>
          <w:t xml:space="preserve">publicnow.com</w:t>
        </w:r>
      </w:hyperlink>
      <w:r>
        <w:t xml:space="preserve">)</w:t>
      </w:r>
    </w:p>
    <w:p>
      <w:pPr>
        <w:pStyle w:val="BodyText"/>
      </w:pPr>
      <w:r>
        <w:t xml:space="preserve">AIG’s response matters more than the market itself. Positive signs would include:</w:t>
      </w:r>
    </w:p>
    <w:p>
      <w:pPr>
        <w:pStyle w:val="Compact"/>
        <w:numPr>
          <w:ilvl w:val="0"/>
          <w:numId w:val="1005"/>
        </w:numPr>
      </w:pPr>
      <w:r>
        <w:t xml:space="preserve">Continued contraction in inadequately priced large-account property</w:t>
      </w:r>
    </w:p>
    <w:p>
      <w:pPr>
        <w:pStyle w:val="Compact"/>
        <w:numPr>
          <w:ilvl w:val="0"/>
          <w:numId w:val="1005"/>
        </w:numPr>
      </w:pPr>
      <w:r>
        <w:t xml:space="preserve">Capacity redeployment into Lexington middle market</w:t>
      </w:r>
    </w:p>
    <w:p>
      <w:pPr>
        <w:pStyle w:val="Compact"/>
        <w:numPr>
          <w:ilvl w:val="0"/>
          <w:numId w:val="1005"/>
        </w:numPr>
      </w:pPr>
      <w:r>
        <w:t xml:space="preserve">Stable or improving casualty retention and pricing</w:t>
      </w:r>
    </w:p>
    <w:p>
      <w:pPr>
        <w:pStyle w:val="Compact"/>
        <w:numPr>
          <w:ilvl w:val="0"/>
          <w:numId w:val="1005"/>
        </w:numPr>
      </w:pPr>
      <w:r>
        <w:t xml:space="preserve">No material weakening in terms, conditions or attachment points</w:t>
      </w:r>
    </w:p>
    <w:p>
      <w:pPr>
        <w:pStyle w:val="Compact"/>
        <w:numPr>
          <w:ilvl w:val="0"/>
          <w:numId w:val="1005"/>
        </w:numPr>
      </w:pPr>
      <w:r>
        <w:t xml:space="preserve">Continued strong international property profitability</w:t>
      </w:r>
    </w:p>
    <w:p>
      <w:pPr>
        <w:pStyle w:val="FirstParagraph"/>
      </w:pPr>
      <w:r>
        <w:t xml:space="preserve">The most important disclosure may be</w:t>
      </w:r>
      <w:r>
        <w:t xml:space="preserve"> </w:t>
      </w:r>
      <w:r>
        <w:rPr>
          <w:b/>
          <w:bCs/>
        </w:rPr>
        <w:t xml:space="preserve">renewal pricing excluding property</w:t>
      </w:r>
      <w:r>
        <w:t xml:space="preserve">. In Q1, North American commercial pricing excluding property was up 7%, broadly in line with loss-cost trends. A decline below loss-cost inflation would weaken the margin outlook.</w:t>
      </w:r>
    </w:p>
    <w:bookmarkEnd w:id="17"/>
    <w:bookmarkStart w:id="18" w:name="X71526a889e08a525b186bd6875e10b513b5e1c8"/>
    <w:p>
      <w:pPr>
        <w:pStyle w:val="Heading2"/>
      </w:pPr>
      <w:r>
        <w:t xml:space="preserve">4. Everest and Convex need to prove their earnings contribution</w:t>
      </w:r>
    </w:p>
    <w:p>
      <w:pPr>
        <w:pStyle w:val="FirstParagraph"/>
      </w:pPr>
      <w:r>
        <w:t xml:space="preserve">AIG entered 2026 with two significant growth initiatives:</w:t>
      </w:r>
    </w:p>
    <w:p>
      <w:pPr>
        <w:pStyle w:val="Compact"/>
        <w:numPr>
          <w:ilvl w:val="0"/>
          <w:numId w:val="1006"/>
        </w:numPr>
      </w:pPr>
      <w:r>
        <w:t xml:space="preserve">Renewal rights for portions of Everest’s retail insurance portfolio</w:t>
      </w:r>
    </w:p>
    <w:p>
      <w:pPr>
        <w:pStyle w:val="Compact"/>
        <w:numPr>
          <w:ilvl w:val="0"/>
          <w:numId w:val="1006"/>
        </w:numPr>
      </w:pPr>
      <w:r>
        <w:t xml:space="preserve">A 35% ownership interest in Convex, accompanied by a quota-share arrangement</w:t>
      </w:r>
    </w:p>
    <w:p>
      <w:pPr>
        <w:pStyle w:val="FirstParagraph"/>
      </w:pPr>
      <w:r>
        <w:t xml:space="preserve">Management said in Q1 that Everest conversion and retention were tracking within expectations and that expected loss ratios should be consistent with AIG’s existing business. Q2 will offer a fuller quarter of evidence.</w:t>
      </w:r>
    </w:p>
    <w:p>
      <w:pPr>
        <w:pStyle w:val="BodyText"/>
      </w:pPr>
      <w:r>
        <w:t xml:space="preserve">Investors should look for:</w:t>
      </w:r>
    </w:p>
    <w:p>
      <w:pPr>
        <w:pStyle w:val="Compact"/>
        <w:numPr>
          <w:ilvl w:val="0"/>
          <w:numId w:val="1007"/>
        </w:numPr>
      </w:pPr>
      <w:r>
        <w:t xml:space="preserve">Everest premium retention and renewal conversion</w:t>
      </w:r>
    </w:p>
    <w:p>
      <w:pPr>
        <w:pStyle w:val="Compact"/>
        <w:numPr>
          <w:ilvl w:val="0"/>
          <w:numId w:val="1007"/>
        </w:numPr>
      </w:pPr>
      <w:r>
        <w:t xml:space="preserve">The mix between property, casualty and financial lines</w:t>
      </w:r>
    </w:p>
    <w:p>
      <w:pPr>
        <w:pStyle w:val="Compact"/>
        <w:numPr>
          <w:ilvl w:val="0"/>
          <w:numId w:val="1007"/>
        </w:numPr>
      </w:pPr>
      <w:r>
        <w:t xml:space="preserve">Any incremental acquisition or integration expense</w:t>
      </w:r>
    </w:p>
    <w:p>
      <w:pPr>
        <w:pStyle w:val="Compact"/>
        <w:numPr>
          <w:ilvl w:val="0"/>
          <w:numId w:val="1007"/>
        </w:numPr>
      </w:pPr>
      <w:r>
        <w:t xml:space="preserve">Convex quota-share premium and underwriting contribution</w:t>
      </w:r>
    </w:p>
    <w:p>
      <w:pPr>
        <w:pStyle w:val="Compact"/>
        <w:numPr>
          <w:ilvl w:val="0"/>
          <w:numId w:val="1007"/>
        </w:numPr>
      </w:pPr>
      <w:r>
        <w:t xml:space="preserve">Whether strategic transactions remain accretive to 2026 EPS</w:t>
      </w:r>
    </w:p>
    <w:p>
      <w:pPr>
        <w:pStyle w:val="Compact"/>
        <w:numPr>
          <w:ilvl w:val="0"/>
          <w:numId w:val="1007"/>
        </w:numPr>
      </w:pPr>
      <w:r>
        <w:t xml:space="preserve">Capital requirements associated with continued growth</w:t>
      </w:r>
    </w:p>
    <w:p>
      <w:pPr>
        <w:pStyle w:val="FirstParagraph"/>
      </w:pPr>
      <w:r>
        <w:t xml:space="preserve">AIG’s premium growth will be higher because of these initiatives, but the valuation benefit depends on whether they produce attractive underwriting returns—not merely additional volume.</w:t>
      </w:r>
    </w:p>
    <w:bookmarkEnd w:id="18"/>
    <w:bookmarkStart w:id="19" w:name="X6bf65f48a6b76761d17aa69214fb77af69c96d1"/>
    <w:p>
      <w:pPr>
        <w:pStyle w:val="Heading2"/>
      </w:pPr>
      <w:r>
        <w:t xml:space="preserve">5. Global Personal must show its improvement is sustainable</w:t>
      </w:r>
    </w:p>
    <w:p>
      <w:pPr>
        <w:pStyle w:val="FirstParagraph"/>
      </w:pPr>
      <w:r>
        <w:t xml:space="preserve">Global Personal was arguably the biggest positive surprise in Q1:</w:t>
      </w:r>
    </w:p>
    <w:p>
      <w:pPr>
        <w:pStyle w:val="Compact"/>
        <w:numPr>
          <w:ilvl w:val="0"/>
          <w:numId w:val="1008"/>
        </w:numPr>
      </w:pPr>
      <w:r>
        <w:t xml:space="preserve">Net premiums written rose 11% in constant currency.</w:t>
      </w:r>
    </w:p>
    <w:p>
      <w:pPr>
        <w:pStyle w:val="Compact"/>
        <w:numPr>
          <w:ilvl w:val="0"/>
          <w:numId w:val="1008"/>
        </w:numPr>
      </w:pPr>
      <w:r>
        <w:t xml:space="preserve">The underlying combined ratio improved 5.7 points to 89.9%.</w:t>
      </w:r>
    </w:p>
    <w:p>
      <w:pPr>
        <w:pStyle w:val="Compact"/>
        <w:numPr>
          <w:ilvl w:val="0"/>
          <w:numId w:val="1008"/>
        </w:numPr>
      </w:pPr>
      <w:r>
        <w:t xml:space="preserve">The reported combined ratio improved to 89.4%.</w:t>
      </w:r>
    </w:p>
    <w:p>
      <w:pPr>
        <w:pStyle w:val="Compact"/>
        <w:numPr>
          <w:ilvl w:val="0"/>
          <w:numId w:val="1008"/>
        </w:numPr>
      </w:pPr>
      <w:r>
        <w:t xml:space="preserve">The expense ratio fell 4.1 points.</w:t>
      </w:r>
    </w:p>
    <w:p>
      <w:pPr>
        <w:pStyle w:val="FirstParagraph"/>
      </w:pPr>
      <w:r>
        <w:t xml:space="preserve">That performance was already substantially better than AIG’s stated goal of reaching a 94% combined ratio by 2027. The challenge is demonstrating that Q1 was not unusually favorable.</w:t>
      </w:r>
    </w:p>
    <w:p>
      <w:pPr>
        <w:pStyle w:val="BodyText"/>
      </w:pPr>
      <w:r>
        <w:t xml:space="preserve">For Q2, investors should focus on:</w:t>
      </w:r>
    </w:p>
    <w:p>
      <w:pPr>
        <w:pStyle w:val="Compact"/>
        <w:numPr>
          <w:ilvl w:val="0"/>
          <w:numId w:val="1009"/>
        </w:numPr>
      </w:pPr>
      <w:r>
        <w:t xml:space="preserve">Underlying combined ratio excluding catastrophes and reserve releases</w:t>
      </w:r>
    </w:p>
    <w:p>
      <w:pPr>
        <w:pStyle w:val="Compact"/>
        <w:numPr>
          <w:ilvl w:val="0"/>
          <w:numId w:val="1009"/>
        </w:numPr>
      </w:pPr>
      <w:r>
        <w:t xml:space="preserve">U.S. high-net-worth loss trends</w:t>
      </w:r>
    </w:p>
    <w:p>
      <w:pPr>
        <w:pStyle w:val="Compact"/>
        <w:numPr>
          <w:ilvl w:val="0"/>
          <w:numId w:val="1009"/>
        </w:numPr>
      </w:pPr>
      <w:r>
        <w:t xml:space="preserve">Whether improved commission terms continue to benefit expenses</w:t>
      </w:r>
    </w:p>
    <w:p>
      <w:pPr>
        <w:pStyle w:val="Compact"/>
        <w:numPr>
          <w:ilvl w:val="0"/>
          <w:numId w:val="1009"/>
        </w:numPr>
      </w:pPr>
      <w:r>
        <w:t xml:space="preserve">Organic growth in Accident &amp; Health</w:t>
      </w:r>
    </w:p>
    <w:p>
      <w:pPr>
        <w:pStyle w:val="Compact"/>
        <w:numPr>
          <w:ilvl w:val="0"/>
          <w:numId w:val="1009"/>
        </w:numPr>
      </w:pPr>
      <w:r>
        <w:t xml:space="preserve">Retention following portfolio restructuring</w:t>
      </w:r>
    </w:p>
    <w:p>
      <w:pPr>
        <w:pStyle w:val="FirstParagraph"/>
      </w:pPr>
      <w:r>
        <w:t xml:space="preserve">Another underlying ratio near 90% would materially strengthen confidence in AIG’s medium-term earnings targets.</w:t>
      </w:r>
    </w:p>
    <w:bookmarkEnd w:id="19"/>
    <w:bookmarkStart w:id="20" w:name="X2e009b264d621c97244cc74723cbe9759b3a53c"/>
    <w:p>
      <w:pPr>
        <w:pStyle w:val="Heading2"/>
      </w:pPr>
      <w:r>
        <w:t xml:space="preserve">6. Investment income should remain supportive—with one caveat</w:t>
      </w:r>
    </w:p>
    <w:p>
      <w:pPr>
        <w:pStyle w:val="FirstParagraph"/>
      </w:pPr>
      <w:r>
        <w:t xml:space="preserve">General Insurance net investment income increased 17% in Q1 to $864 million. AIG continued reinvesting at yields above maturing assets, with a 4.61% annualized fixed-income portfolio yield.</w:t>
      </w:r>
    </w:p>
    <w:p>
      <w:pPr>
        <w:pStyle w:val="BodyText"/>
      </w:pPr>
      <w:r>
        <w:t xml:space="preserve">The weak point was alternative investments. Private-equity returns were only 1.6% in Q1, and management warned that Q2 alternative returns could remain below long-term expectations because those results are generally reported with a lag.</w:t>
      </w:r>
    </w:p>
    <w:p>
      <w:pPr>
        <w:pStyle w:val="BodyText"/>
      </w:pPr>
      <w:r>
        <w:t xml:space="preserve">The likely Q2 setup is therefore:</w:t>
      </w:r>
    </w:p>
    <w:p>
      <w:pPr>
        <w:pStyle w:val="Compact"/>
        <w:numPr>
          <w:ilvl w:val="0"/>
          <w:numId w:val="1010"/>
        </w:numPr>
      </w:pPr>
      <w:r>
        <w:rPr>
          <w:b/>
          <w:bCs/>
        </w:rPr>
        <w:t xml:space="preserve">Positive:</w:t>
      </w:r>
      <w:r>
        <w:t xml:space="preserve"> </w:t>
      </w:r>
      <w:r>
        <w:t xml:space="preserve">continued growth in core fixed-income income</w:t>
      </w:r>
    </w:p>
    <w:p>
      <w:pPr>
        <w:pStyle w:val="Compact"/>
        <w:numPr>
          <w:ilvl w:val="0"/>
          <w:numId w:val="1010"/>
        </w:numPr>
      </w:pPr>
      <w:r>
        <w:rPr>
          <w:b/>
          <w:bCs/>
        </w:rPr>
        <w:t xml:space="preserve">Negative:</w:t>
      </w:r>
      <w:r>
        <w:t xml:space="preserve"> </w:t>
      </w:r>
      <w:r>
        <w:t xml:space="preserve">subdued private-equity and alternative returns</w:t>
      </w:r>
    </w:p>
    <w:p>
      <w:pPr>
        <w:pStyle w:val="Compact"/>
        <w:numPr>
          <w:ilvl w:val="0"/>
          <w:numId w:val="1010"/>
        </w:numPr>
      </w:pPr>
      <w:r>
        <w:rPr>
          <w:b/>
          <w:bCs/>
        </w:rPr>
        <w:t xml:space="preserve">Mixed:</w:t>
      </w:r>
      <w:r>
        <w:t xml:space="preserve"> </w:t>
      </w:r>
      <w:r>
        <w:t xml:space="preserve">lower parent-level income following the Corebridge exit</w:t>
      </w:r>
    </w:p>
    <w:p>
      <w:pPr>
        <w:pStyle w:val="FirstParagraph"/>
      </w:pPr>
      <w:r>
        <w:t xml:space="preserve">Management previously guided Q2 Other Operations investment income and other to approximately</w:t>
      </w:r>
      <w:r>
        <w:t xml:space="preserve"> </w:t>
      </w:r>
      <m:oMath>
        <m:r>
          <m:t>30</m:t>
        </m:r>
        <m:r>
          <m:t>m</m:t>
        </m:r>
        <m:r>
          <m:t>i</m:t>
        </m:r>
        <m:r>
          <m:t>l</m:t>
        </m:r>
        <m:r>
          <m:t>l</m:t>
        </m:r>
        <m:r>
          <m:t>i</m:t>
        </m:r>
        <m:r>
          <m:t>o</m:t>
        </m:r>
        <m:r>
          <m:t>n</m:t>
        </m:r>
        <m:r>
          <m:rPr>
            <m:sty m:val="p"/>
          </m:rPr>
          <m:t>–</m:t>
        </m:r>
      </m:oMath>
      <w:r>
        <w:rPr>
          <w:b/>
          <w:bCs/>
        </w:rPr>
        <w:t xml:space="preserve">40 million</w:t>
      </w:r>
      <w:r>
        <w:t xml:space="preserve">. Investors should check whether that range remains an appropriate run rate after the final Corebridge sale.</w:t>
      </w:r>
    </w:p>
    <w:bookmarkEnd w:id="20"/>
    <w:bookmarkStart w:id="22" w:name="X439a82a89f63e2b7dc962535f4581d805950125"/>
    <w:p>
      <w:pPr>
        <w:pStyle w:val="Heading2"/>
      </w:pPr>
      <w:r>
        <w:t xml:space="preserve">7. Capital returns could provide meaningful EPS support</w:t>
      </w:r>
    </w:p>
    <w:p>
      <w:pPr>
        <w:pStyle w:val="FirstParagraph"/>
      </w:pPr>
      <w:r>
        <w:t xml:space="preserve">AIG returned $760 million to shareholders in Q1, including $519 million of buybacks. It also increased the quarterly dividend by 11% to $0.50 per share.</w:t>
      </w:r>
    </w:p>
    <w:p>
      <w:pPr>
        <w:pStyle w:val="BodyText"/>
      </w:pPr>
      <w:r>
        <w:t xml:space="preserve">After quarter-end, AIG sold its remaining Corebridge stake for approximately</w:t>
      </w:r>
      <w:r>
        <w:t xml:space="preserve"> </w:t>
      </w:r>
      <w:r>
        <w:rPr>
          <w:b/>
          <w:bCs/>
        </w:rPr>
        <w:t xml:space="preserve">$710 million</w:t>
      </w:r>
      <w:r>
        <w:t xml:space="preserve">, completing its exit from life and retirement. (</w:t>
      </w:r>
      <w:hyperlink r:id="rId21">
        <w:r>
          <w:rPr>
            <w:rStyle w:val="Hyperlink"/>
          </w:rPr>
          <w:t xml:space="preserve">aig.gcs-web.com</w:t>
        </w:r>
      </w:hyperlink>
      <w:r>
        <w:t xml:space="preserve">)</w:t>
      </w:r>
    </w:p>
    <w:p>
      <w:pPr>
        <w:pStyle w:val="BodyText"/>
      </w:pPr>
      <w:r>
        <w:t xml:space="preserve">The central capital-allocation questions are:</w:t>
      </w:r>
    </w:p>
    <w:p>
      <w:pPr>
        <w:pStyle w:val="Compact"/>
        <w:numPr>
          <w:ilvl w:val="0"/>
          <w:numId w:val="1011"/>
        </w:numPr>
      </w:pPr>
      <w:r>
        <w:t xml:space="preserve">How much of the Corebridge proceeds have been or will be used for buybacks?</w:t>
      </w:r>
    </w:p>
    <w:p>
      <w:pPr>
        <w:pStyle w:val="Compact"/>
        <w:numPr>
          <w:ilvl w:val="0"/>
          <w:numId w:val="1011"/>
        </w:numPr>
      </w:pPr>
      <w:r>
        <w:t xml:space="preserve">What was the Q2 average diluted share count?</w:t>
      </w:r>
    </w:p>
    <w:p>
      <w:pPr>
        <w:pStyle w:val="Compact"/>
        <w:numPr>
          <w:ilvl w:val="0"/>
          <w:numId w:val="1011"/>
        </w:numPr>
      </w:pPr>
      <w:r>
        <w:t xml:space="preserve">How much remains under the repurchase authorization?</w:t>
      </w:r>
    </w:p>
    <w:p>
      <w:pPr>
        <w:pStyle w:val="Compact"/>
        <w:numPr>
          <w:ilvl w:val="0"/>
          <w:numId w:val="1011"/>
        </w:numPr>
      </w:pPr>
      <w:r>
        <w:t xml:space="preserve">Is excess capital being reserved for additional strategic investments?</w:t>
      </w:r>
    </w:p>
    <w:p>
      <w:pPr>
        <w:pStyle w:val="Compact"/>
        <w:numPr>
          <w:ilvl w:val="0"/>
          <w:numId w:val="1011"/>
        </w:numPr>
      </w:pPr>
      <w:r>
        <w:t xml:space="preserve">Does management favor organic growth, bolt-on transactions or accelerated repurchases?</w:t>
      </w:r>
    </w:p>
    <w:p>
      <w:pPr>
        <w:pStyle w:val="FirstParagraph"/>
      </w:pPr>
      <w:r>
        <w:t xml:space="preserve">At the end of Q1, AIG had already repurchased approximately three million additional shares between April 1 and April 24. A materially lower Q2 share count could help offset some operating normalization.</w:t>
      </w:r>
    </w:p>
    <w:bookmarkEnd w:id="22"/>
    <w:bookmarkStart w:id="24" w:name="X49bee6425a32b2b7eda2a56f365605e7f306b66"/>
    <w:p>
      <w:pPr>
        <w:pStyle w:val="Heading2"/>
      </w:pPr>
      <w:r>
        <w:t xml:space="preserve">8. This is also a CEO-transition quarter</w:t>
      </w:r>
    </w:p>
    <w:p>
      <w:pPr>
        <w:pStyle w:val="FirstParagraph"/>
      </w:pPr>
      <w:r>
        <w:t xml:space="preserve">Eric Andersen assumed the CEO role on June 1, making this his first quarterly earnings call as chief executive. (</w:t>
      </w:r>
      <w:hyperlink r:id="rId23">
        <w:r>
          <w:rPr>
            <w:rStyle w:val="Hyperlink"/>
          </w:rPr>
          <w:t xml:space="preserve">aig.com</w:t>
        </w:r>
      </w:hyperlink>
      <w:r>
        <w:t xml:space="preserve">)</w:t>
      </w:r>
    </w:p>
    <w:p>
      <w:pPr>
        <w:pStyle w:val="BodyText"/>
      </w:pPr>
      <w:r>
        <w:t xml:space="preserve">He previously reaffirmed AIG’s Investor Day objectives, including:</w:t>
      </w:r>
    </w:p>
    <w:p>
      <w:pPr>
        <w:pStyle w:val="Compact"/>
        <w:numPr>
          <w:ilvl w:val="0"/>
          <w:numId w:val="1012"/>
        </w:numPr>
      </w:pPr>
      <w:r>
        <w:t xml:space="preserve">More than 20% operating EPS CAGR through 2027</w:t>
      </w:r>
    </w:p>
    <w:p>
      <w:pPr>
        <w:pStyle w:val="Compact"/>
        <w:numPr>
          <w:ilvl w:val="0"/>
          <w:numId w:val="1012"/>
        </w:numPr>
      </w:pPr>
      <w:r>
        <w:t xml:space="preserve">Core operating ROE of 10%–13%</w:t>
      </w:r>
    </w:p>
    <w:p>
      <w:pPr>
        <w:pStyle w:val="Compact"/>
        <w:numPr>
          <w:ilvl w:val="0"/>
          <w:numId w:val="1012"/>
        </w:numPr>
      </w:pPr>
      <w:r>
        <w:t xml:space="preserve">General Insurance expense ratio below 30% by 2027</w:t>
      </w:r>
    </w:p>
    <w:p>
      <w:pPr>
        <w:pStyle w:val="Compact"/>
        <w:numPr>
          <w:ilvl w:val="0"/>
          <w:numId w:val="1012"/>
        </w:numPr>
      </w:pPr>
      <w:r>
        <w:t xml:space="preserve">Continued dividend growth</w:t>
      </w:r>
    </w:p>
    <w:p>
      <w:pPr>
        <w:pStyle w:val="Compact"/>
        <w:numPr>
          <w:ilvl w:val="0"/>
          <w:numId w:val="1012"/>
        </w:numPr>
      </w:pPr>
      <w:r>
        <w:t xml:space="preserve">Global Personal combined-ratio improvement</w:t>
      </w:r>
    </w:p>
    <w:p>
      <w:pPr>
        <w:pStyle w:val="FirstParagraph"/>
      </w:pPr>
      <w:r>
        <w:t xml:space="preserve">Investors should listen for any change in emphasis regarding:</w:t>
      </w:r>
    </w:p>
    <w:p>
      <w:pPr>
        <w:pStyle w:val="Compact"/>
        <w:numPr>
          <w:ilvl w:val="0"/>
          <w:numId w:val="1013"/>
        </w:numPr>
      </w:pPr>
      <w:r>
        <w:t xml:space="preserve">Organic versus inorganic growth</w:t>
      </w:r>
    </w:p>
    <w:p>
      <w:pPr>
        <w:pStyle w:val="Compact"/>
        <w:numPr>
          <w:ilvl w:val="0"/>
          <w:numId w:val="1013"/>
        </w:numPr>
      </w:pPr>
      <w:r>
        <w:t xml:space="preserve">The pace of capital returns</w:t>
      </w:r>
    </w:p>
    <w:p>
      <w:pPr>
        <w:pStyle w:val="Compact"/>
        <w:numPr>
          <w:ilvl w:val="0"/>
          <w:numId w:val="1013"/>
        </w:numPr>
      </w:pPr>
      <w:r>
        <w:t xml:space="preserve">Casualty and property risk appetite</w:t>
      </w:r>
    </w:p>
    <w:p>
      <w:pPr>
        <w:pStyle w:val="Compact"/>
        <w:numPr>
          <w:ilvl w:val="0"/>
          <w:numId w:val="1013"/>
        </w:numPr>
      </w:pPr>
      <w:r>
        <w:t xml:space="preserve">Convex and Onex</w:t>
      </w:r>
    </w:p>
    <w:p>
      <w:pPr>
        <w:pStyle w:val="Compact"/>
        <w:numPr>
          <w:ilvl w:val="0"/>
          <w:numId w:val="1013"/>
        </w:numPr>
      </w:pPr>
      <w:r>
        <w:t xml:space="preserve">AIG’s AI investment program</w:t>
      </w:r>
    </w:p>
    <w:p>
      <w:pPr>
        <w:pStyle w:val="Compact"/>
        <w:numPr>
          <w:ilvl w:val="0"/>
          <w:numId w:val="1013"/>
        </w:numPr>
      </w:pPr>
      <w:r>
        <w:t xml:space="preserve">Expense reinvestment versus direct cost savings</w:t>
      </w:r>
    </w:p>
    <w:p>
      <w:pPr>
        <w:pStyle w:val="FirstParagraph"/>
      </w:pPr>
      <w:r>
        <w:t xml:space="preserve">No major strategy change is necessary. A straightforward reaffirmation, backed by underwriting discipline and capital returns, would likely be received positively.</w:t>
      </w:r>
    </w:p>
    <w:bookmarkEnd w:id="24"/>
    <w:bookmarkStart w:id="25" w:name="valuation-and-expectations"/>
    <w:p>
      <w:pPr>
        <w:pStyle w:val="Heading2"/>
      </w:pPr>
      <w:r>
        <w:t xml:space="preserve">Valuation and expectations</w:t>
      </w:r>
    </w:p>
    <w:p>
      <w:pPr>
        <w:pStyle w:val="FirstParagraph"/>
      </w:pPr>
      <w:r>
        <w:t xml:space="preserve">AIG closed August 5 at approximately</w:t>
      </w:r>
      <w:r>
        <w:t xml:space="preserve"> </w:t>
      </w:r>
      <w:r>
        <w:rPr>
          <w:b/>
          <w:bCs/>
        </w:rPr>
        <w:t xml:space="preserve">$80.14</w:t>
      </w:r>
      <w:r>
        <w:t xml:space="preserve">. At that price, the shares trade at roughly:</w:t>
      </w:r>
    </w:p>
    <w:p>
      <w:pPr>
        <w:pStyle w:val="Compact"/>
        <w:numPr>
          <w:ilvl w:val="0"/>
          <w:numId w:val="1014"/>
        </w:numPr>
      </w:pPr>
      <w:r>
        <w:rPr>
          <w:b/>
          <w:bCs/>
        </w:rPr>
        <w:t xml:space="preserve">10.0×</w:t>
      </w:r>
      <w:r>
        <w:t xml:space="preserve"> </w:t>
      </w:r>
      <w:r>
        <w:t xml:space="preserve">the $8.00 full-year EPS consensus</w:t>
      </w:r>
    </w:p>
    <w:p>
      <w:pPr>
        <w:pStyle w:val="Compact"/>
        <w:numPr>
          <w:ilvl w:val="0"/>
          <w:numId w:val="1014"/>
        </w:numPr>
      </w:pPr>
      <w:r>
        <w:rPr>
          <w:b/>
          <w:bCs/>
        </w:rPr>
        <w:t xml:space="preserve">1.13×</w:t>
      </w:r>
      <w:r>
        <w:t xml:space="preserve"> </w:t>
      </w:r>
      <w:r>
        <w:t xml:space="preserve">Q1 adjusted tangible book value</w:t>
      </w:r>
    </w:p>
    <w:p>
      <w:pPr>
        <w:pStyle w:val="Compact"/>
        <w:numPr>
          <w:ilvl w:val="0"/>
          <w:numId w:val="1014"/>
        </w:numPr>
      </w:pPr>
      <w:r>
        <w:t xml:space="preserve">A dividend yield of approximately</w:t>
      </w:r>
      <w:r>
        <w:t xml:space="preserve"> </w:t>
      </w:r>
      <w:r>
        <w:rPr>
          <w:b/>
          <w:bCs/>
        </w:rPr>
        <w:t xml:space="preserve">2.5%</w:t>
      </w:r>
      <w:r>
        <w:t xml:space="preserve"> </w:t>
      </w:r>
      <w:r>
        <w:t xml:space="preserve">based on the new $2.00 annualized dividend</w:t>
      </w:r>
    </w:p>
    <w:p>
      <w:pPr>
        <w:pStyle w:val="FirstParagraph"/>
      </w:pPr>
      <w:r>
        <w:t xml:space="preserve">The stock was down about 6% from year-end but up approximately 7% since the April 30 pre-earnings close. That suggests expectations are not excessive, although investors have already rewarded the strong Q1 report.</w:t>
      </w:r>
    </w:p>
    <w:p>
      <w:pPr>
        <w:pStyle w:val="BodyText"/>
      </w:pPr>
      <w:r>
        <w:t xml:space="preserve">The valuation leaves room for upside if AIG demonstrates that its mid-to-high-80s underwriting margins and double-digit premium growth can coexist. It also leaves limited tolerance for an unexpected reserve charge or evidence that property softness is materially weakening the underlying loss ratio.</w:t>
      </w:r>
    </w:p>
    <w:bookmarkEnd w:id="25"/>
    <w:bookmarkStart w:id="29" w:name="what-would-constitute-a-strong-report"/>
    <w:p>
      <w:pPr>
        <w:pStyle w:val="Heading2"/>
      </w:pPr>
      <w:r>
        <w:t xml:space="preserve">What would constitute a strong report?</w:t>
      </w:r>
    </w:p>
    <w:bookmarkStart w:id="26" w:name="bullish-outcome"/>
    <w:p>
      <w:pPr>
        <w:pStyle w:val="Heading3"/>
      </w:pPr>
      <w:r>
        <w:t xml:space="preserve">Bullish outcome</w:t>
      </w:r>
    </w:p>
    <w:p>
      <w:pPr>
        <w:pStyle w:val="Compact"/>
        <w:numPr>
          <w:ilvl w:val="0"/>
          <w:numId w:val="1015"/>
        </w:numPr>
      </w:pPr>
      <w:r>
        <w:t xml:space="preserve">Adjusted EPS clearly above the roughly</w:t>
      </w:r>
      <w:r>
        <w:t xml:space="preserve"> </w:t>
      </w:r>
      <m:oMath>
        <m:r>
          <m:t>1.92</m:t>
        </m:r>
        <m:r>
          <m:rPr>
            <m:sty m:val="p"/>
          </m:rPr>
          <m:t>–</m:t>
        </m:r>
      </m:oMath>
      <w:r>
        <w:t xml:space="preserve">1.93 consensus</w:t>
      </w:r>
    </w:p>
    <w:p>
      <w:pPr>
        <w:pStyle w:val="Compact"/>
        <w:numPr>
          <w:ilvl w:val="0"/>
          <w:numId w:val="1015"/>
        </w:numPr>
      </w:pPr>
      <w:r>
        <w:t xml:space="preserve">Underlying combined ratio of approximately 87% or better</w:t>
      </w:r>
    </w:p>
    <w:p>
      <w:pPr>
        <w:pStyle w:val="Compact"/>
        <w:numPr>
          <w:ilvl w:val="0"/>
          <w:numId w:val="1015"/>
        </w:numPr>
      </w:pPr>
      <w:r>
        <w:t xml:space="preserve">Low-to-mid-teens net-premium growth maintained</w:t>
      </w:r>
    </w:p>
    <w:p>
      <w:pPr>
        <w:pStyle w:val="Compact"/>
        <w:numPr>
          <w:ilvl w:val="0"/>
          <w:numId w:val="1015"/>
        </w:numPr>
      </w:pPr>
      <w:r>
        <w:t xml:space="preserve">Global Personal underlying combined ratio near 90%–92%</w:t>
      </w:r>
    </w:p>
    <w:p>
      <w:pPr>
        <w:pStyle w:val="Compact"/>
        <w:numPr>
          <w:ilvl w:val="0"/>
          <w:numId w:val="1015"/>
        </w:numPr>
      </w:pPr>
      <w:r>
        <w:t xml:space="preserve">Everest retention and margins tracking to plan</w:t>
      </w:r>
    </w:p>
    <w:p>
      <w:pPr>
        <w:pStyle w:val="Compact"/>
        <w:numPr>
          <w:ilvl w:val="0"/>
          <w:numId w:val="1015"/>
        </w:numPr>
      </w:pPr>
      <w:r>
        <w:t xml:space="preserve">Fixed-income growth offsets weak alternatives</w:t>
      </w:r>
    </w:p>
    <w:p>
      <w:pPr>
        <w:pStyle w:val="Compact"/>
        <w:numPr>
          <w:ilvl w:val="0"/>
          <w:numId w:val="1015"/>
        </w:numPr>
      </w:pPr>
      <w:r>
        <w:t xml:space="preserve">Strong buyback pace following the Corebridge sale</w:t>
      </w:r>
    </w:p>
    <w:p>
      <w:pPr>
        <w:pStyle w:val="Compact"/>
        <w:numPr>
          <w:ilvl w:val="0"/>
          <w:numId w:val="1015"/>
        </w:numPr>
      </w:pPr>
      <w:r>
        <w:t xml:space="preserve">Full-year and Investor Day targets reaffirmed</w:t>
      </w:r>
    </w:p>
    <w:bookmarkEnd w:id="26"/>
    <w:bookmarkStart w:id="27" w:name="acceptablebase-outcome"/>
    <w:p>
      <w:pPr>
        <w:pStyle w:val="Heading3"/>
      </w:pPr>
      <w:r>
        <w:t xml:space="preserve">Acceptable/base outcome</w:t>
      </w:r>
    </w:p>
    <w:p>
      <w:pPr>
        <w:pStyle w:val="Compact"/>
        <w:numPr>
          <w:ilvl w:val="0"/>
          <w:numId w:val="1016"/>
        </w:numPr>
      </w:pPr>
      <w:r>
        <w:t xml:space="preserve">EPS approximately in line with consensus</w:t>
      </w:r>
    </w:p>
    <w:p>
      <w:pPr>
        <w:pStyle w:val="Compact"/>
        <w:numPr>
          <w:ilvl w:val="0"/>
          <w:numId w:val="1016"/>
        </w:numPr>
      </w:pPr>
      <w:r>
        <w:t xml:space="preserve">Underlying combined ratio of 87%–89%</w:t>
      </w:r>
    </w:p>
    <w:p>
      <w:pPr>
        <w:pStyle w:val="Compact"/>
        <w:numPr>
          <w:ilvl w:val="0"/>
          <w:numId w:val="1016"/>
        </w:numPr>
      </w:pPr>
      <w:r>
        <w:t xml:space="preserve">Manageable catastrophe losses</w:t>
      </w:r>
    </w:p>
    <w:p>
      <w:pPr>
        <w:pStyle w:val="Compact"/>
        <w:numPr>
          <w:ilvl w:val="0"/>
          <w:numId w:val="1016"/>
        </w:numPr>
      </w:pPr>
      <w:r>
        <w:t xml:space="preserve">Property contraction offset by casualty, specialty and personal growth</w:t>
      </w:r>
    </w:p>
    <w:p>
      <w:pPr>
        <w:pStyle w:val="Compact"/>
        <w:numPr>
          <w:ilvl w:val="0"/>
          <w:numId w:val="1016"/>
        </w:numPr>
      </w:pPr>
      <w:r>
        <w:t xml:space="preserve">Expense ratio remains below 30%</w:t>
      </w:r>
    </w:p>
    <w:p>
      <w:pPr>
        <w:pStyle w:val="Compact"/>
        <w:numPr>
          <w:ilvl w:val="0"/>
          <w:numId w:val="1016"/>
        </w:numPr>
      </w:pPr>
      <w:r>
        <w:t xml:space="preserve">Management maintains its full-year premium outlook</w:t>
      </w:r>
    </w:p>
    <w:bookmarkEnd w:id="27"/>
    <w:bookmarkStart w:id="28" w:name="bearish-outcome"/>
    <w:p>
      <w:pPr>
        <w:pStyle w:val="Heading3"/>
      </w:pPr>
      <w:r>
        <w:t xml:space="preserve">Bearish outcome</w:t>
      </w:r>
    </w:p>
    <w:p>
      <w:pPr>
        <w:pStyle w:val="Compact"/>
        <w:numPr>
          <w:ilvl w:val="0"/>
          <w:numId w:val="1017"/>
        </w:numPr>
      </w:pPr>
      <w:r>
        <w:t xml:space="preserve">EPS near or below the low end of the current estimate range</w:t>
      </w:r>
    </w:p>
    <w:p>
      <w:pPr>
        <w:pStyle w:val="Compact"/>
        <w:numPr>
          <w:ilvl w:val="0"/>
          <w:numId w:val="1017"/>
        </w:numPr>
      </w:pPr>
      <w:r>
        <w:t xml:space="preserve">Underlying combined ratio approaching or exceeding 90%</w:t>
      </w:r>
    </w:p>
    <w:p>
      <w:pPr>
        <w:pStyle w:val="Compact"/>
        <w:numPr>
          <w:ilvl w:val="0"/>
          <w:numId w:val="1017"/>
        </w:numPr>
      </w:pPr>
      <w:r>
        <w:t xml:space="preserve">Property-price pressure produces visible attritional deterioration</w:t>
      </w:r>
    </w:p>
    <w:p>
      <w:pPr>
        <w:pStyle w:val="Compact"/>
        <w:numPr>
          <w:ilvl w:val="0"/>
          <w:numId w:val="1017"/>
        </w:numPr>
      </w:pPr>
      <w:r>
        <w:t xml:space="preserve">Casualty pricing falls below management’s loss-cost assumptions</w:t>
      </w:r>
    </w:p>
    <w:p>
      <w:pPr>
        <w:pStyle w:val="Compact"/>
        <w:numPr>
          <w:ilvl w:val="0"/>
          <w:numId w:val="1017"/>
        </w:numPr>
      </w:pPr>
      <w:r>
        <w:t xml:space="preserve">Unexpected adverse reserve development</w:t>
      </w:r>
    </w:p>
    <w:p>
      <w:pPr>
        <w:pStyle w:val="Compact"/>
        <w:numPr>
          <w:ilvl w:val="0"/>
          <w:numId w:val="1017"/>
        </w:numPr>
      </w:pPr>
      <w:r>
        <w:t xml:space="preserve">Everest or Convex economics disappoint</w:t>
      </w:r>
    </w:p>
    <w:p>
      <w:pPr>
        <w:pStyle w:val="Compact"/>
        <w:numPr>
          <w:ilvl w:val="0"/>
          <w:numId w:val="1017"/>
        </w:numPr>
      </w:pPr>
      <w:r>
        <w:t xml:space="preserve">Slower-than-expected buybacks despite the Corebridge proceeds</w:t>
      </w:r>
    </w:p>
    <w:p>
      <w:pPr>
        <w:pStyle w:val="Compact"/>
        <w:numPr>
          <w:ilvl w:val="0"/>
          <w:numId w:val="1017"/>
        </w:numPr>
      </w:pPr>
      <w:r>
        <w:t xml:space="preserve">Any retreat from the 2027 financial targets</w:t>
      </w:r>
    </w:p>
    <w:bookmarkEnd w:id="28"/>
    <w:bookmarkEnd w:id="29"/>
    <w:bookmarkStart w:id="30" w:name="bottom-line"/>
    <w:p>
      <w:pPr>
        <w:pStyle w:val="Heading2"/>
      </w:pPr>
      <w:r>
        <w:t xml:space="preserve">Bottom line</w:t>
      </w:r>
    </w:p>
    <w:p>
      <w:pPr>
        <w:pStyle w:val="FirstParagraph"/>
      </w:pPr>
      <w:r>
        <w:t xml:space="preserve">AIG does not need to repeat Q1’s unusually strong year-over-year improvement. It does need to demonstrate that the underlying business can remain highly profitable as commercial property pricing softens.</w:t>
      </w:r>
    </w:p>
    <w:p>
      <w:pPr>
        <w:pStyle w:val="BodyText"/>
      </w:pPr>
      <w:r>
        <w:t xml:space="preserve">The cleanest positive report would combine an underlying combined ratio in the high 80s or better, continued expense leverage, disciplined reductions in underpriced property business, sustainable Global Personal improvement and aggressive—but prudent—capital returns.</w:t>
      </w:r>
    </w:p>
    <w:p>
      <w:pPr>
        <w:pStyle w:val="BodyText"/>
      </w:pPr>
      <w:r>
        <w:t xml:space="preserve">The biggest risk is not a modest EPS miss caused by catastrophe or alternative-investment volatility. It is evidence that</w:t>
      </w:r>
      <w:r>
        <w:t xml:space="preserve"> </w:t>
      </w:r>
      <w:r>
        <w:rPr>
          <w:b/>
          <w:bCs/>
        </w:rPr>
        <w:t xml:space="preserve">underlying loss ratios are beginning to erode faster than earned-premium growth and expense savings can compensate</w:t>
      </w:r>
      <w:r>
        <w:t xml:space="preserv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aig.gcs-web.com/news-releases/" TargetMode="External" /><Relationship Type="http://schemas.openxmlformats.org/officeDocument/2006/relationships/hyperlink" Id="rId21" Target="https://aig.gcs-web.com/news-releases/news-release-details/aig-announces-sale-its-remaining-stake-corebridge-financial-inc" TargetMode="External" /><Relationship Type="http://schemas.openxmlformats.org/officeDocument/2006/relationships/hyperlink" Id="rId12" Target="https://aig.gcs-web.com/news-releases/news-release-details/aig-reports-excellent-first-quarter-2026-results/" TargetMode="External" /><Relationship Type="http://schemas.openxmlformats.org/officeDocument/2006/relationships/hyperlink" Id="rId23" Target="https://www.aig.com/home/about/leadership-and-governance/eric-andersen" TargetMode="External" /><Relationship Type="http://schemas.openxmlformats.org/officeDocument/2006/relationships/hyperlink" Id="rId10" Target="https://www.barchart.com/stocks/quotes/AIG/earnings-estimates" TargetMode="External" /><Relationship Type="http://schemas.openxmlformats.org/officeDocument/2006/relationships/hyperlink" Id="rId16" Target="https://www.publicnow.com/view/6F141AEDB3F36312A57F0D123DD94D6183F58720?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aig.gcs-web.com/news-releases/" TargetMode="External" /><Relationship Type="http://schemas.openxmlformats.org/officeDocument/2006/relationships/hyperlink" Id="rId21" Target="https://aig.gcs-web.com/news-releases/news-release-details/aig-announces-sale-its-remaining-stake-corebridge-financial-inc" TargetMode="External" /><Relationship Type="http://schemas.openxmlformats.org/officeDocument/2006/relationships/hyperlink" Id="rId12" Target="https://aig.gcs-web.com/news-releases/news-release-details/aig-reports-excellent-first-quarter-2026-results/" TargetMode="External" /><Relationship Type="http://schemas.openxmlformats.org/officeDocument/2006/relationships/hyperlink" Id="rId23" Target="https://www.aig.com/home/about/leadership-and-governance/eric-andersen" TargetMode="External" /><Relationship Type="http://schemas.openxmlformats.org/officeDocument/2006/relationships/hyperlink" Id="rId10" Target="https://www.barchart.com/stocks/quotes/AIG/earnings-estimates" TargetMode="External" /><Relationship Type="http://schemas.openxmlformats.org/officeDocument/2006/relationships/hyperlink" Id="rId16" Target="https://www.publicnow.com/view/6F141AEDB3F36312A57F0D123DD94D6183F58720?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2026-08-06T01:21:49Z</dcterms:created>
  <dcterms:modified xsi:type="dcterms:W3CDTF">2026-08-06T01:21:49Z</dcterms:modified>
</cp:coreProperties>
</file>

<file path=docProps/custom.xml><?xml version="1.0" encoding="utf-8"?>
<Properties xmlns="http://schemas.openxmlformats.org/officeDocument/2006/custom-properties" xmlns:vt="http://schemas.openxmlformats.org/officeDocument/2006/docPropsVTypes"/>
</file>