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ig-earnings-predictions--2026-08-06"/>
    <w:p>
      <w:pPr>
        <w:pStyle w:val="Heading1"/>
      </w:pPr>
      <w:r>
        <w:t xml:space="preserve">AIG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after-tax income per diluted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~$1.74 vs. cons $1.67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General Insurance accident-year combined ratio, as adjusted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~87.8% vs. cons 88.8%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General Insurance net investment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~$885M vs. cons $860M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General Insurance net premiums written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~14% vs. cons 14%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EPS CAGR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~&gt;20% vs. cons ~20% (2025-2027)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Other Operations net investment income and other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~$25M vs. cons $35M (3Q2026)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Corebridge ownership / expected monetization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~0% vs. cons 1% (FY2026 exit timing)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+3.6% (FOLLOW-THROUGH)</w:t>
            </w:r>
          </w:p>
        </w:tc>
        <w:tc>
          <w:tcPr/>
          <w:p>
            <w:pPr>
              <w:pStyle w:val="Compact"/>
            </w:pPr>
            <w:r>
              <w:t xml:space="preserve">A modest EPS and underwriting beat should be reinforced by unchanged FY2026 NPW growth of ~14% versus ~14% consensus and continued &gt;20% 2025-2027 operating-EPS CAGR guidance versus ~20% consensus; the favorable margin/earned-premium mix and faster Corebridge monetization should support out-period estimates despite a modestly lower ~$25M versus $35M 3Q Other Operations income outlook.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2026-08-06T01:19:43Z</dcterms:created>
  <dcterms:modified xsi:type="dcterms:W3CDTF">2026-08-06T01:19:43Z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