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aig-2q26-earnings-preview"/>
    <w:p>
      <w:pPr>
        <w:pStyle w:val="Heading1"/>
      </w:pPr>
      <w:r>
        <w:t xml:space="preserve">AIG 2Q26 Earnings Preview</w:t>
      </w:r>
    </w:p>
    <w:p>
      <w:pPr>
        <w:pStyle w:val="BlockText"/>
      </w:pPr>
      <w:r>
        <w:rPr>
          <w:b/>
          <w:bCs/>
        </w:rPr>
        <w:t xml:space="preserve">Date correction:</w:t>
      </w:r>
      <w:r>
        <w:t xml:space="preserve"> </w:t>
      </w:r>
      <w:r>
        <w:t xml:space="preserve">The scheduled</w:t>
      </w:r>
      <w:r>
        <w:t xml:space="preserve"> </w:t>
      </w:r>
      <w:r>
        <w:rPr>
          <w:b/>
          <w:bCs/>
        </w:rPr>
        <w:t xml:space="preserve">2026Q2 earnings call is today, Thursday, August 6, 2026</w:t>
      </w:r>
      <w:r>
        <w:t xml:space="preserve">, not tomorrow. This is therefore a pre-call preview.</w:t>
      </w:r>
    </w:p>
    <w:bookmarkStart w:id="9" w:name="Xef351305efabca7913422d241447a6322cac4ae"/>
    <w:p>
      <w:pPr>
        <w:pStyle w:val="Heading2"/>
      </w:pPr>
      <w:r>
        <w:t xml:space="preserve">Investment view: execution versus normalization</w:t>
      </w:r>
    </w:p>
    <w:p>
      <w:pPr>
        <w:pStyle w:val="FirstParagraph"/>
      </w:pPr>
      <w:r>
        <w:t xml:space="preserve">AIG enters 2Q26 with substantial operating momentum, but the debate has shifted from whether the turnaround is real to</w:t>
      </w:r>
      <w:r>
        <w:t xml:space="preserve"> </w:t>
      </w:r>
      <w:r>
        <w:rPr>
          <w:b/>
          <w:bCs/>
        </w:rPr>
        <w:t xml:space="preserve">how durable the current earnings trajectory is as commercial-property pricing softens</w:t>
      </w:r>
      <w:r>
        <w:t xml:space="preserve">.</w:t>
      </w:r>
    </w:p>
    <w:p>
      <w:pPr>
        <w:pStyle w:val="BodyText"/>
      </w:pPr>
      <w:r>
        <w:t xml:space="preserve">The first quarter was unusually strong: adjusted after-tax income (AATI) was</w:t>
      </w:r>
      <w:r>
        <w:t xml:space="preserve"> </w:t>
      </w:r>
      <m:oMath>
        <m:r>
          <m:t>2.11</m:t>
        </m:r>
        <m:r>
          <m:t>p</m:t>
        </m:r>
        <m:r>
          <m:t>e</m:t>
        </m:r>
        <m:r>
          <m:t>r</m:t>
        </m:r>
        <m:r>
          <m:t>s</m:t>
        </m:r>
        <m:r>
          <m:t>h</m:t>
        </m:r>
        <m:r>
          <m:t>a</m:t>
        </m:r>
        <m:r>
          <m:t>r</m:t>
        </m:r>
        <m:r>
          <m:t>e</m:t>
        </m:r>
        <m:r>
          <m:rPr>
            <m:sty m:val="p"/>
          </m:rPr>
          <m:t>*</m:t>
        </m:r>
        <m:r>
          <m:rPr>
            <m:sty m:val="p"/>
          </m:rPr>
          <m:t>*</m:t>
        </m:r>
        <m:r>
          <m:rPr>
            <m:sty m:val="p"/>
          </m:rPr>
          <m:t>,</m:t>
        </m:r>
        <m:r>
          <m:t>u</m:t>
        </m:r>
        <m:r>
          <m:t>p</m:t>
        </m:r>
        <m:r>
          <m:t>80</m:t>
        </m:r>
      </m:oMath>
      <w:r>
        <w:rPr>
          <w:b/>
          <w:bCs/>
        </w:rPr>
        <w:t xml:space="preserve">774 million</w:t>
      </w:r>
      <w:r>
        <w:t xml:space="preserve">; and the accident-year combined ratio excluding catastrophes and prior-year development (AYCR) improved to</w:t>
      </w:r>
      <w:r>
        <w:t xml:space="preserve"> </w:t>
      </w:r>
      <w:r>
        <w:rPr>
          <w:b/>
          <w:bCs/>
        </w:rPr>
        <w:t xml:space="preserve">86.6%</w:t>
      </w:r>
      <w:r>
        <w:t xml:space="preserve">. However, results were also helped by relatively modest catastrophe losses and favorable reserve development. The 2Q report needs to demonstrate that premium earned growth, expense leverage, Global Personal improvement, and investment income can sustain attractive returns even as rate conditions become less favorable.</w:t>
      </w:r>
    </w:p>
    <w:p>
      <w:pPr>
        <w:pStyle w:val="BodyText"/>
      </w:pPr>
      <w:r>
        <w:t xml:space="preserve">The most important question for investors is not simply whether AIG beats an earnings-per-share estimate. It is whether management can maintain its path toward its 2027 objectives while prudently shrinking business where the price no longer supports the risk.</w:t>
      </w:r>
    </w:p>
    <w:p>
      <w:r>
        <w:pict>
          <v:rect style="width:0;height:1.5pt" o:hralign="center" o:hrstd="t" o:hr="t"/>
        </w:pict>
      </w:r>
    </w:p>
    <w:bookmarkEnd w:id="9"/>
    <w:bookmarkStart w:id="16" w:name="what-matters-most-in-the-quarter"/>
    <w:p>
      <w:pPr>
        <w:pStyle w:val="Heading2"/>
      </w:pPr>
      <w:r>
        <w:t xml:space="preserve">What matters most in the quarter</w:t>
      </w:r>
    </w:p>
    <w:bookmarkStart w:id="10" w:name="X5ac705e88601a48a79a548b5c34595c0261449c"/>
    <w:p>
      <w:pPr>
        <w:pStyle w:val="Heading3"/>
      </w:pPr>
      <w:r>
        <w:t xml:space="preserve">1. Underlying combined ratio: can AIG hold underwriting quality?</w:t>
      </w:r>
    </w:p>
    <w:p>
      <w:pPr>
        <w:pStyle w:val="FirstParagraph"/>
      </w:pPr>
      <w:r>
        <w:t xml:space="preserve">In 1Q, AIG’s General Insurance AYCR was</w:t>
      </w:r>
      <w:r>
        <w:t xml:space="preserve"> </w:t>
      </w:r>
      <w:r>
        <w:rPr>
          <w:b/>
          <w:bCs/>
        </w:rPr>
        <w:t xml:space="preserve">86.6%</w:t>
      </w:r>
      <w:r>
        <w:t xml:space="preserve">, including a</w:t>
      </w:r>
      <w:r>
        <w:t xml:space="preserve"> </w:t>
      </w:r>
      <w:r>
        <w:rPr>
          <w:b/>
          <w:bCs/>
        </w:rPr>
        <w:t xml:space="preserve">57.3%</w:t>
      </w:r>
      <w:r>
        <w:t xml:space="preserve"> </w:t>
      </w:r>
      <w:r>
        <w:t xml:space="preserve">accident-year loss ratio and a</w:t>
      </w:r>
      <w:r>
        <w:t xml:space="preserve"> </w:t>
      </w:r>
      <w:r>
        <w:rPr>
          <w:b/>
          <w:bCs/>
        </w:rPr>
        <w:t xml:space="preserve">29.3%</w:t>
      </w:r>
      <w:r>
        <w:t xml:space="preserve"> </w:t>
      </w:r>
      <w:r>
        <w:t xml:space="preserve">expense ratio. The expense ratio improved 120 basis points year over year, while the underlying loss ratio was flat.</w:t>
      </w:r>
    </w:p>
    <w:p>
      <w:pPr>
        <w:pStyle w:val="BodyText"/>
      </w:pPr>
      <w:r>
        <w:t xml:space="preserve">For 2Q, investors should focus on:</w:t>
      </w:r>
    </w:p>
    <w:p>
      <w:pPr>
        <w:pStyle w:val="Compact"/>
        <w:numPr>
          <w:ilvl w:val="0"/>
          <w:numId w:val="1001"/>
        </w:numPr>
      </w:pPr>
      <w:r>
        <w:rPr>
          <w:b/>
          <w:bCs/>
        </w:rPr>
        <w:t xml:space="preserve">AYCR versus 1Q’s 86.6%</w:t>
      </w:r>
    </w:p>
    <w:p>
      <w:pPr>
        <w:pStyle w:val="Compact"/>
        <w:numPr>
          <w:ilvl w:val="0"/>
          <w:numId w:val="1001"/>
        </w:numPr>
      </w:pPr>
      <w:r>
        <w:t xml:space="preserve">The split between loss-ratio movement and expense-ratio improvement</w:t>
      </w:r>
    </w:p>
    <w:p>
      <w:pPr>
        <w:pStyle w:val="Compact"/>
        <w:numPr>
          <w:ilvl w:val="0"/>
          <w:numId w:val="1001"/>
        </w:numPr>
      </w:pPr>
      <w:r>
        <w:t xml:space="preserve">Catastrophe losses and prior-year reserve development</w:t>
      </w:r>
    </w:p>
    <w:p>
      <w:pPr>
        <w:pStyle w:val="Compact"/>
        <w:numPr>
          <w:ilvl w:val="0"/>
          <w:numId w:val="1001"/>
        </w:numPr>
      </w:pPr>
      <w:r>
        <w:t xml:space="preserve">Whether favorable development in U.S. Property and Financial Lines continues, moderates, or reverses</w:t>
      </w:r>
    </w:p>
    <w:p>
      <w:pPr>
        <w:pStyle w:val="FirstParagraph"/>
      </w:pPr>
      <w:r>
        <w:t xml:space="preserve">A modest deterioration in the loss ratio would not necessarily be negative if it reflects the intentional shift toward casualty and away from underpriced property. The more concerning outcome would be deterioration from weaker-than-expected loss trends, reserve actions, or softening terms and conditions—not merely portfolio mix.</w:t>
      </w:r>
    </w:p>
    <w:bookmarkEnd w:id="10"/>
    <w:bookmarkStart w:id="11" w:name="Xfb77225afbcb4510e042fdcdeb07b0f448a6c8e"/>
    <w:p>
      <w:pPr>
        <w:pStyle w:val="Heading3"/>
      </w:pPr>
      <w:r>
        <w:t xml:space="preserve">2. Net premiums written is important—but earned premium is the bigger near-term earnings lever</w:t>
      </w:r>
    </w:p>
    <w:p>
      <w:pPr>
        <w:pStyle w:val="FirstParagraph"/>
      </w:pPr>
      <w:r>
        <w:t xml:space="preserve">Management reaffirmed expectations for</w:t>
      </w:r>
      <w:r>
        <w:t xml:space="preserve"> </w:t>
      </w:r>
      <w:r>
        <w:rPr>
          <w:b/>
          <w:bCs/>
        </w:rPr>
        <w:t xml:space="preserve">low- to mid-teens 2026 General Insurance net-premiums-written growth</w:t>
      </w:r>
      <w:r>
        <w:t xml:space="preserve">. In 1Q, NPW rose</w:t>
      </w:r>
      <w:r>
        <w:t xml:space="preserve"> </w:t>
      </w:r>
      <w:r>
        <w:rPr>
          <w:b/>
          <w:bCs/>
        </w:rPr>
        <w:t xml:space="preserve">18% on a constant-currency basis</w:t>
      </w:r>
      <w:r>
        <w:t xml:space="preserve">, aided by reinsurance restructuring, the Everest renewal-rights transaction, the Convex quota share, and organic growth.</w:t>
      </w:r>
    </w:p>
    <w:p>
      <w:pPr>
        <w:pStyle w:val="BodyText"/>
      </w:pPr>
      <w:r>
        <w:t xml:space="preserve">The critical nuance is that management has said the resulting</w:t>
      </w:r>
      <w:r>
        <w:t xml:space="preserve"> </w:t>
      </w:r>
      <w:r>
        <w:rPr>
          <w:b/>
          <w:bCs/>
        </w:rPr>
        <w:t xml:space="preserve">net-premiums-earned growth should accelerate in the back half of 2026 and into 2027</w:t>
      </w:r>
      <w:r>
        <w:t xml:space="preserve">. That means investors should look for evidence in 2Q that:</w:t>
      </w:r>
    </w:p>
    <w:p>
      <w:pPr>
        <w:pStyle w:val="Compact"/>
        <w:numPr>
          <w:ilvl w:val="0"/>
          <w:numId w:val="1002"/>
        </w:numPr>
      </w:pPr>
      <w:r>
        <w:t xml:space="preserve">Net premiums earned are beginning to catch up with written-premium growth;</w:t>
      </w:r>
    </w:p>
    <w:p>
      <w:pPr>
        <w:pStyle w:val="Compact"/>
        <w:numPr>
          <w:ilvl w:val="0"/>
          <w:numId w:val="1002"/>
        </w:numPr>
      </w:pPr>
      <w:r>
        <w:t xml:space="preserve">The Everest conversion is retaining business within expected ranges;</w:t>
      </w:r>
    </w:p>
    <w:p>
      <w:pPr>
        <w:pStyle w:val="Compact"/>
        <w:numPr>
          <w:ilvl w:val="0"/>
          <w:numId w:val="1002"/>
        </w:numPr>
      </w:pPr>
      <w:r>
        <w:t xml:space="preserve">The acquired/converted business is tracking to AIG-quality loss and combined ratios; and</w:t>
      </w:r>
    </w:p>
    <w:p>
      <w:pPr>
        <w:pStyle w:val="Compact"/>
        <w:numPr>
          <w:ilvl w:val="0"/>
          <w:numId w:val="1002"/>
        </w:numPr>
      </w:pPr>
      <w:r>
        <w:t xml:space="preserve">Growth is not being purchased by accepting weaker pricing or terms.</w:t>
      </w:r>
    </w:p>
    <w:p>
      <w:pPr>
        <w:pStyle w:val="FirstParagraph"/>
      </w:pPr>
      <w:r>
        <w:t xml:space="preserve">A strong written-premium number without corresponding commentary on expected earned-premium conversion and margin quality would be less compelling.</w:t>
      </w:r>
    </w:p>
    <w:bookmarkEnd w:id="11"/>
    <w:bookmarkStart w:id="12" w:name="X1f8b410948d1d8c9ffe5ff00161ca00a54c71ef"/>
    <w:p>
      <w:pPr>
        <w:pStyle w:val="Heading3"/>
      </w:pPr>
      <w:r>
        <w:t xml:space="preserve">3. Property-market discipline: expect deliberate contraction, not a growth miss</w:t>
      </w:r>
    </w:p>
    <w:p>
      <w:pPr>
        <w:pStyle w:val="FirstParagraph"/>
      </w:pPr>
      <w:r>
        <w:t xml:space="preserve">AIG has been explicit that its Lexington large-account shared-and-layered E&amp;S property portfolio is under substantial pricing pressure. It represented</w:t>
      </w:r>
      <w:r>
        <w:t xml:space="preserve"> </w:t>
      </w:r>
      <w:r>
        <w:rPr>
          <w:b/>
          <w:bCs/>
        </w:rPr>
        <w:t xml:space="preserve">less than 10% of AIG’s global property portfolio</w:t>
      </w:r>
      <w:r>
        <w:t xml:space="preserve">, and management expects it to contract if the current rate environment persists.</w:t>
      </w:r>
    </w:p>
    <w:p>
      <w:pPr>
        <w:pStyle w:val="BodyText"/>
      </w:pPr>
      <w:r>
        <w:t xml:space="preserve">The 1Q pricing signals were clear: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Area</w:t>
            </w:r>
          </w:p>
        </w:tc>
        <w:tc>
          <w:tcPr/>
          <w:p>
            <w:pPr>
              <w:pStyle w:val="Compact"/>
              <w:jc w:val="right"/>
            </w:pPr>
            <w:r>
              <w:t xml:space="preserve">1Q26 pricing commentary</w:t>
            </w:r>
          </w:p>
        </w:tc>
      </w:tr>
      <w:tr>
        <w:tc>
          <w:tcPr/>
          <w:p>
            <w:pPr>
              <w:pStyle w:val="Compact"/>
            </w:pPr>
            <w:r>
              <w:t xml:space="preserve">North America Property</w:t>
            </w:r>
          </w:p>
        </w:tc>
        <w:tc>
          <w:tcPr/>
          <w:p>
            <w:pPr>
              <w:pStyle w:val="Compact"/>
              <w:jc w:val="right"/>
            </w:pPr>
            <w:r>
              <w:rPr>
                <w:b/>
                <w:bCs/>
              </w:rPr>
              <w:t xml:space="preserve">-11%</w:t>
            </w:r>
          </w:p>
        </w:tc>
      </w:tr>
      <w:tr>
        <w:tc>
          <w:tcPr/>
          <w:p>
            <w:pPr>
              <w:pStyle w:val="Compact"/>
            </w:pPr>
            <w:r>
              <w:t xml:space="preserve">International Property</w:t>
            </w:r>
          </w:p>
        </w:tc>
        <w:tc>
          <w:tcPr/>
          <w:p>
            <w:pPr>
              <w:pStyle w:val="Compact"/>
              <w:jc w:val="right"/>
            </w:pPr>
            <w:r>
              <w:rPr>
                <w:b/>
                <w:bCs/>
              </w:rPr>
              <w:t xml:space="preserve">-4%</w:t>
            </w:r>
          </w:p>
        </w:tc>
      </w:tr>
      <w:tr>
        <w:tc>
          <w:tcPr/>
          <w:p>
            <w:pPr>
              <w:pStyle w:val="Compact"/>
            </w:pPr>
            <w:r>
              <w:t xml:space="preserve">North America Commercial excluding Property</w:t>
            </w:r>
          </w:p>
        </w:tc>
        <w:tc>
          <w:tcPr/>
          <w:p>
            <w:pPr>
              <w:pStyle w:val="Compact"/>
              <w:jc w:val="right"/>
            </w:pPr>
            <w:r>
              <w:rPr>
                <w:b/>
                <w:bCs/>
              </w:rPr>
              <w:t xml:space="preserve">+7%</w:t>
            </w:r>
          </w:p>
        </w:tc>
      </w:tr>
      <w:tr>
        <w:tc>
          <w:tcPr/>
          <w:p>
            <w:pPr>
              <w:pStyle w:val="Compact"/>
            </w:pPr>
            <w:r>
              <w:t xml:space="preserve">Retail Excess Casualty</w:t>
            </w:r>
          </w:p>
        </w:tc>
        <w:tc>
          <w:tcPr/>
          <w:p>
            <w:pPr>
              <w:pStyle w:val="Compact"/>
              <w:jc w:val="right"/>
            </w:pPr>
            <w:r>
              <w:rPr>
                <w:b/>
                <w:bCs/>
              </w:rPr>
              <w:t xml:space="preserve">+14%</w:t>
            </w:r>
          </w:p>
        </w:tc>
      </w:tr>
      <w:tr>
        <w:tc>
          <w:tcPr/>
          <w:p>
            <w:pPr>
              <w:pStyle w:val="Compact"/>
            </w:pPr>
            <w:r>
              <w:t xml:space="preserve">Lexington Casualty</w:t>
            </w:r>
          </w:p>
        </w:tc>
        <w:tc>
          <w:tcPr/>
          <w:p>
            <w:pPr>
              <w:pStyle w:val="Compact"/>
              <w:jc w:val="right"/>
            </w:pPr>
            <w:r>
              <w:rPr>
                <w:b/>
                <w:bCs/>
              </w:rPr>
              <w:t xml:space="preserve">+8%</w:t>
            </w:r>
          </w:p>
        </w:tc>
      </w:tr>
      <w:tr>
        <w:tc>
          <w:tcPr/>
          <w:p>
            <w:pPr>
              <w:pStyle w:val="Compact"/>
            </w:pPr>
            <w:r>
              <w:t xml:space="preserve">International Casualty</w:t>
            </w:r>
          </w:p>
        </w:tc>
        <w:tc>
          <w:tcPr/>
          <w:p>
            <w:pPr>
              <w:pStyle w:val="Compact"/>
              <w:jc w:val="right"/>
            </w:pPr>
            <w:r>
              <w:rPr>
                <w:b/>
                <w:bCs/>
              </w:rPr>
              <w:t xml:space="preserve">+5%</w:t>
            </w:r>
          </w:p>
        </w:tc>
      </w:tr>
    </w:tbl>
    <w:p>
      <w:pPr>
        <w:pStyle w:val="BodyText"/>
      </w:pPr>
      <w:r>
        <w:t xml:space="preserve">The key read-through is that lower property premium growth—or even a property decline—could be a</w:t>
      </w:r>
      <w:r>
        <w:t xml:space="preserve"> </w:t>
      </w:r>
      <w:r>
        <w:rPr>
          <w:b/>
          <w:bCs/>
        </w:rPr>
        <w:t xml:space="preserve">sign of underwriting discipline</w:t>
      </w:r>
      <w:r>
        <w:t xml:space="preserve">, provided AIG redeploys capital toward casualty, middle-market E&amp;S, international property, and other lines with acceptable risk-adjusted returns.</w:t>
      </w:r>
    </w:p>
    <w:p>
      <w:pPr>
        <w:pStyle w:val="BodyText"/>
      </w:pPr>
      <w:r>
        <w:t xml:space="preserve">Peer reporting supports management’s description of the market: Chubb reported weak large-account and E&amp;S property conditions in 2Q and reduced exposure there, while still growing middle-market/small-commercial and international businesses. That corroborates the idea that AIG’s property pullback is industry-driven rather than company-specific.</w:t>
      </w:r>
    </w:p>
    <w:bookmarkEnd w:id="12"/>
    <w:bookmarkStart w:id="13" w:name="Xf1bf44b2ca9e0fd920d8685b5661ef15c411eac"/>
    <w:p>
      <w:pPr>
        <w:pStyle w:val="Heading3"/>
      </w:pPr>
      <w:r>
        <w:t xml:space="preserve">4. Global Personal is now a material upside lever</w:t>
      </w:r>
    </w:p>
    <w:p>
      <w:pPr>
        <w:pStyle w:val="FirstParagraph"/>
      </w:pPr>
      <w:r>
        <w:t xml:space="preserve">Global Personal was the standout improvement story in 1Q:</w:t>
      </w:r>
    </w:p>
    <w:p>
      <w:pPr>
        <w:pStyle w:val="Compact"/>
        <w:numPr>
          <w:ilvl w:val="0"/>
          <w:numId w:val="1003"/>
        </w:numPr>
      </w:pPr>
      <w:r>
        <w:t xml:space="preserve">Constant-currency NPW growth:</w:t>
      </w:r>
      <w:r>
        <w:t xml:space="preserve"> </w:t>
      </w:r>
      <w:r>
        <w:rPr>
          <w:b/>
          <w:bCs/>
        </w:rPr>
        <w:t xml:space="preserve">11%</w:t>
      </w:r>
    </w:p>
    <w:p>
      <w:pPr>
        <w:pStyle w:val="Compact"/>
        <w:numPr>
          <w:ilvl w:val="0"/>
          <w:numId w:val="1003"/>
        </w:numPr>
      </w:pPr>
      <w:r>
        <w:t xml:space="preserve">AYCR:</w:t>
      </w:r>
      <w:r>
        <w:t xml:space="preserve"> </w:t>
      </w:r>
      <w:r>
        <w:rPr>
          <w:b/>
          <w:bCs/>
        </w:rPr>
        <w:t xml:space="preserve">89.9%</w:t>
      </w:r>
      <w:r>
        <w:t xml:space="preserve">, improving</w:t>
      </w:r>
      <w:r>
        <w:t xml:space="preserve"> </w:t>
      </w:r>
      <w:r>
        <w:rPr>
          <w:b/>
          <w:bCs/>
        </w:rPr>
        <w:t xml:space="preserve">570 bps</w:t>
      </w:r>
      <w:r>
        <w:t xml:space="preserve"> </w:t>
      </w:r>
      <w:r>
        <w:t xml:space="preserve">year over year</w:t>
      </w:r>
    </w:p>
    <w:p>
      <w:pPr>
        <w:pStyle w:val="Compact"/>
        <w:numPr>
          <w:ilvl w:val="0"/>
          <w:numId w:val="1003"/>
        </w:numPr>
      </w:pPr>
      <w:r>
        <w:t xml:space="preserve">Calendar-year combined ratio:</w:t>
      </w:r>
      <w:r>
        <w:t xml:space="preserve"> </w:t>
      </w:r>
      <w:r>
        <w:rPr>
          <w:b/>
          <w:bCs/>
        </w:rPr>
        <w:t xml:space="preserve">89.4%</w:t>
      </w:r>
      <w:r>
        <w:t xml:space="preserve">, versus</w:t>
      </w:r>
      <w:r>
        <w:t xml:space="preserve"> </w:t>
      </w:r>
      <w:r>
        <w:rPr>
          <w:b/>
          <w:bCs/>
        </w:rPr>
        <w:t xml:space="preserve">107.9%</w:t>
      </w:r>
      <w:r>
        <w:t xml:space="preserve"> </w:t>
      </w:r>
      <w:r>
        <w:t xml:space="preserve">a year earlier</w:t>
      </w:r>
    </w:p>
    <w:p>
      <w:pPr>
        <w:pStyle w:val="FirstParagraph"/>
      </w:pPr>
      <w:r>
        <w:t xml:space="preserve">AIG’s 2027 objective is a</w:t>
      </w:r>
      <w:r>
        <w:t xml:space="preserve"> </w:t>
      </w:r>
      <w:r>
        <w:rPr>
          <w:b/>
          <w:bCs/>
        </w:rPr>
        <w:t xml:space="preserve">94% Global Personal combined ratio</w:t>
      </w:r>
      <w:r>
        <w:t xml:space="preserve">. On the surface, the 1Q result was already ahead of that target, but investors should avoid annualizing a single quarter. The questions for 2Q are:</w:t>
      </w:r>
    </w:p>
    <w:p>
      <w:pPr>
        <w:pStyle w:val="Compact"/>
        <w:numPr>
          <w:ilvl w:val="0"/>
          <w:numId w:val="1004"/>
        </w:numPr>
      </w:pPr>
      <w:r>
        <w:t xml:space="preserve">Is the improvement holding after catastrophe and reserve normalization?</w:t>
      </w:r>
    </w:p>
    <w:p>
      <w:pPr>
        <w:pStyle w:val="Compact"/>
        <w:numPr>
          <w:ilvl w:val="0"/>
          <w:numId w:val="1004"/>
        </w:numPr>
      </w:pPr>
      <w:r>
        <w:t xml:space="preserve">Are better commission terms, reinsurance changes, and underwriting actions continuing to earn through?</w:t>
      </w:r>
    </w:p>
    <w:p>
      <w:pPr>
        <w:pStyle w:val="Compact"/>
        <w:numPr>
          <w:ilvl w:val="0"/>
          <w:numId w:val="1004"/>
        </w:numPr>
      </w:pPr>
      <w:r>
        <w:t xml:space="preserve">Can the segment grow without sacrificing the lower-loss-ratio progress?</w:t>
      </w:r>
    </w:p>
    <w:p>
      <w:pPr>
        <w:pStyle w:val="FirstParagraph"/>
      </w:pPr>
      <w:r>
        <w:t xml:space="preserve">Sustained sub-94% performance would strengthen the case that Global Personal has become a real earnings contributor rather than merely a turnaround project.</w:t>
      </w:r>
    </w:p>
    <w:bookmarkEnd w:id="13"/>
    <w:bookmarkStart w:id="14" w:name="Xfd8b69b4083097b4d745ffaf5a584b0b94a02a3"/>
    <w:p>
      <w:pPr>
        <w:pStyle w:val="Heading3"/>
      </w:pPr>
      <w:r>
        <w:t xml:space="preserve">5. Investment income should remain supportive—but alternative returns may be a drag</w:t>
      </w:r>
    </w:p>
    <w:p>
      <w:pPr>
        <w:pStyle w:val="FirstParagraph"/>
      </w:pPr>
      <w:r>
        <w:t xml:space="preserve">General Insurance net investment income rose</w:t>
      </w:r>
      <w:r>
        <w:t xml:space="preserve"> </w:t>
      </w:r>
      <w:r>
        <w:rPr>
          <w:b/>
          <w:bCs/>
        </w:rPr>
        <w:t xml:space="preserve">17%</w:t>
      </w:r>
      <w:r>
        <w:t xml:space="preserve"> </w:t>
      </w:r>
      <w:r>
        <w:t xml:space="preserve">year over year in 1Q to</w:t>
      </w:r>
      <w:r>
        <w:t xml:space="preserve"> </w:t>
      </w:r>
      <w:r>
        <w:rPr>
          <w:b/>
          <w:bCs/>
        </w:rPr>
        <w:t xml:space="preserve">$864 million</w:t>
      </w:r>
      <w:r>
        <w:t xml:space="preserve">. The core fixed-income portfolio was the central driver, with annualized yield reaching</w:t>
      </w:r>
      <w:r>
        <w:t xml:space="preserve"> </w:t>
      </w:r>
      <w:r>
        <w:rPr>
          <w:b/>
          <w:bCs/>
        </w:rPr>
        <w:t xml:space="preserve">4.61%</w:t>
      </w:r>
      <w:r>
        <w:t xml:space="preserve">, up 51 bps year over year. The company was reinvesting at yields roughly 80 bps above those on sales and maturities.</w:t>
      </w:r>
    </w:p>
    <w:p>
      <w:pPr>
        <w:pStyle w:val="BodyText"/>
      </w:pPr>
      <w:r>
        <w:t xml:space="preserve">The offset is alternatives: 1Q alternative investment income was only</w:t>
      </w:r>
      <w:r>
        <w:t xml:space="preserve"> </w:t>
      </w:r>
      <w:r>
        <w:rPr>
          <w:b/>
          <w:bCs/>
        </w:rPr>
        <w:t xml:space="preserve">$6 million</w:t>
      </w:r>
      <w:r>
        <w:t xml:space="preserve">, versus $43 million a year ago. Management warned that, because of the reporting lag and market volatility, second-quarter alternative-investment returns could remain below normal expectations.</w:t>
      </w:r>
    </w:p>
    <w:p>
      <w:pPr>
        <w:pStyle w:val="BodyText"/>
      </w:pPr>
      <w:r>
        <w:t xml:space="preserve">Thus, the cleanest result would be:</w:t>
      </w:r>
    </w:p>
    <w:p>
      <w:pPr>
        <w:pStyle w:val="Compact"/>
        <w:numPr>
          <w:ilvl w:val="0"/>
          <w:numId w:val="1005"/>
        </w:numPr>
      </w:pPr>
      <w:r>
        <w:t xml:space="preserve">Continued growth in core fixed-income income;</w:t>
      </w:r>
    </w:p>
    <w:p>
      <w:pPr>
        <w:pStyle w:val="Compact"/>
        <w:numPr>
          <w:ilvl w:val="0"/>
          <w:numId w:val="1005"/>
        </w:numPr>
      </w:pPr>
      <w:r>
        <w:t xml:space="preserve">No significant investment-credit surprises;</w:t>
      </w:r>
    </w:p>
    <w:p>
      <w:pPr>
        <w:pStyle w:val="Compact"/>
        <w:numPr>
          <w:ilvl w:val="0"/>
          <w:numId w:val="1005"/>
        </w:numPr>
      </w:pPr>
      <w:r>
        <w:t xml:space="preserve">Alternatives that are manageable rather than a larger-than-expected headwind; and</w:t>
      </w:r>
    </w:p>
    <w:p>
      <w:pPr>
        <w:pStyle w:val="Compact"/>
        <w:numPr>
          <w:ilvl w:val="0"/>
          <w:numId w:val="1005"/>
        </w:numPr>
      </w:pPr>
      <w:r>
        <w:t xml:space="preserve">Confirmation that higher portfolio yield remains an earnings tailwind.</w:t>
      </w:r>
    </w:p>
    <w:bookmarkEnd w:id="14"/>
    <w:bookmarkStart w:id="15" w:name="Xfeb4d62c32f8342d5c6f87a5f3bb77bf4877679"/>
    <w:p>
      <w:pPr>
        <w:pStyle w:val="Heading3"/>
      </w:pPr>
      <w:r>
        <w:t xml:space="preserve">6. Catastrophes: likely manageable, but watch the net result</w:t>
      </w:r>
    </w:p>
    <w:p>
      <w:pPr>
        <w:pStyle w:val="FirstParagraph"/>
      </w:pPr>
      <w:r>
        <w:t xml:space="preserve">AIG’s low-retention catastrophe reinsurance strategy is intended to reduce earnings volatility. Still, 2Q included meaningful U.S. severe-convective-storm activity. Peer disclosures imply a non-trivial but not necessarily extreme industry loss environment: Chubb reported</w:t>
      </w:r>
      <w:r>
        <w:t xml:space="preserve"> </w:t>
      </w:r>
      <m:oMath>
        <m:r>
          <m:t>475</m:t>
        </m:r>
        <m:r>
          <m:t>m</m:t>
        </m:r>
        <m:r>
          <m:t>i</m:t>
        </m:r>
        <m:r>
          <m:t>l</m:t>
        </m:r>
        <m:r>
          <m:t>l</m:t>
        </m:r>
        <m:r>
          <m:t>i</m:t>
        </m:r>
        <m:r>
          <m:t>o</m:t>
        </m:r>
        <m:r>
          <m:t>n</m:t>
        </m:r>
        <m:r>
          <m:rPr>
            <m:sty m:val="p"/>
          </m:rPr>
          <m:t>*</m:t>
        </m:r>
        <m:r>
          <m:rPr>
            <m:sty m:val="p"/>
          </m:rPr>
          <m:t>*</m:t>
        </m:r>
        <m:r>
          <m:t>o</m:t>
        </m:r>
        <m:r>
          <m:t>f</m:t>
        </m:r>
        <m:r>
          <m:t>p</m:t>
        </m:r>
        <m:r>
          <m:t>r</m:t>
        </m:r>
        <m:r>
          <m:t>e</m:t>
        </m:r>
        <m:r>
          <m:rPr>
            <m:sty m:val="p"/>
          </m:rPr>
          <m:t>−</m:t>
        </m:r>
        <m:r>
          <m:t>t</m:t>
        </m:r>
        <m:r>
          <m:t>a</m:t>
        </m:r>
        <m:r>
          <m:t>x</m:t>
        </m:r>
        <m:r>
          <m:t>c</m:t>
        </m:r>
        <m:r>
          <m:t>a</m:t>
        </m:r>
        <m:r>
          <m:t>t</m:t>
        </m:r>
        <m:r>
          <m:t>a</m:t>
        </m:r>
        <m:r>
          <m:t>s</m:t>
        </m:r>
        <m:r>
          <m:t>t</m:t>
        </m:r>
        <m:r>
          <m:t>r</m:t>
        </m:r>
        <m:r>
          <m:t>o</m:t>
        </m:r>
        <m:r>
          <m:t>p</m:t>
        </m:r>
        <m:r>
          <m:t>h</m:t>
        </m:r>
        <m:r>
          <m:t>e</m:t>
        </m:r>
        <m:r>
          <m:t>l</m:t>
        </m:r>
        <m:r>
          <m:t>o</m:t>
        </m:r>
        <m:r>
          <m:t>s</m:t>
        </m:r>
        <m:r>
          <m:t>s</m:t>
        </m:r>
        <m:r>
          <m:t>e</m:t>
        </m:r>
        <m:r>
          <m:t>s</m:t>
        </m:r>
        <m:r>
          <m:rPr>
            <m:sty m:val="p"/>
          </m:rPr>
          <m:t>,</m:t>
        </m:r>
        <m:r>
          <m:t>b</m:t>
        </m:r>
        <m:r>
          <m:t>e</m:t>
        </m:r>
        <m:r>
          <m:t>l</m:t>
        </m:r>
        <m:r>
          <m:t>o</m:t>
        </m:r>
        <m:r>
          <m:t>w</m:t>
        </m:r>
        <m:r>
          <m:t>t</m:t>
        </m:r>
        <m:r>
          <m:t>h</m:t>
        </m:r>
        <m:r>
          <m:t>e</m:t>
        </m:r>
        <m:r>
          <m:t>p</m:t>
        </m:r>
        <m:r>
          <m:t>r</m:t>
        </m:r>
        <m:r>
          <m:t>i</m:t>
        </m:r>
        <m:r>
          <m:t>o</m:t>
        </m:r>
        <m:r>
          <m:t>r</m:t>
        </m:r>
        <m:r>
          <m:rPr>
            <m:sty m:val="p"/>
          </m:rPr>
          <m:t>−</m:t>
        </m:r>
        <m:r>
          <m:t>y</m:t>
        </m:r>
        <m:r>
          <m:t>e</m:t>
        </m:r>
        <m:r>
          <m:t>a</m:t>
        </m:r>
        <m:r>
          <m:t>r</m:t>
        </m:r>
        <m:r>
          <m:t>q</m:t>
        </m:r>
        <m:r>
          <m:t>u</m:t>
        </m:r>
        <m:r>
          <m:t>a</m:t>
        </m:r>
        <m:r>
          <m:t>r</m:t>
        </m:r>
        <m:r>
          <m:t>t</m:t>
        </m:r>
        <m:r>
          <m:t>e</m:t>
        </m:r>
        <m:r>
          <m:t>r</m:t>
        </m:r>
        <m:r>
          <m:rPr>
            <m:sty m:val="p"/>
          </m:rPr>
          <m:t>,</m:t>
        </m:r>
        <m:r>
          <m:t>w</m:t>
        </m:r>
        <m:r>
          <m:t>h</m:t>
        </m:r>
        <m:r>
          <m:t>i</m:t>
        </m:r>
        <m:r>
          <m:t>l</m:t>
        </m:r>
        <m:r>
          <m:t>e</m:t>
        </m:r>
        <m:r>
          <m:t>H</m:t>
        </m:r>
        <m:r>
          <m:t>a</m:t>
        </m:r>
        <m:r>
          <m:t>r</m:t>
        </m:r>
        <m:r>
          <m:t>t</m:t>
        </m:r>
        <m:r>
          <m:t>f</m:t>
        </m:r>
        <m:r>
          <m:t>o</m:t>
        </m:r>
        <m:r>
          <m:t>r</m:t>
        </m:r>
        <m:r>
          <m:t>d</m:t>
        </m:r>
        <m:r>
          <m:t>r</m:t>
        </m:r>
        <m:r>
          <m:t>e</m:t>
        </m:r>
        <m:r>
          <m:t>p</m:t>
        </m:r>
        <m:r>
          <m:t>o</m:t>
        </m:r>
        <m:r>
          <m:t>r</m:t>
        </m:r>
        <m:r>
          <m:t>t</m:t>
        </m:r>
        <m:r>
          <m:t>e</m:t>
        </m:r>
        <m:r>
          <m:t>d</m:t>
        </m:r>
        <m:r>
          <m:rPr>
            <m:sty m:val="p"/>
          </m:rPr>
          <m:t>*</m:t>
        </m:r>
        <m:r>
          <m:rPr>
            <m:sty m:val="p"/>
          </m:rPr>
          <m:t>*</m:t>
        </m:r>
      </m:oMath>
      <w:r>
        <w:rPr>
          <w:b/>
          <w:bCs/>
        </w:rPr>
        <w:t xml:space="preserve">222 million</w:t>
      </w:r>
      <w:r>
        <w:t xml:space="preserve"> </w:t>
      </w:r>
      <w:r>
        <w:t xml:space="preserve">of current-accident-year catastrophe losses, largely from tornado, wind, and hail events.</w:t>
      </w:r>
    </w:p>
    <w:p>
      <w:pPr>
        <w:pStyle w:val="BodyText"/>
      </w:pPr>
      <w:r>
        <w:t xml:space="preserve">AIG’s reported catastrophe losses will depend on its geographic and line-of-business exposure, attachment points, and reinsurance recoveries. Investors should assess the result alongside management’s discussion of whether its favorable January reinsurance renewals preserved the intended level of protection.</w:t>
      </w:r>
    </w:p>
    <w:p>
      <w:r>
        <w:pict>
          <v:rect style="width:0;height:1.5pt" o:hralign="center" o:hrstd="t" o:hr="t"/>
        </w:pict>
      </w:r>
    </w:p>
    <w:bookmarkEnd w:id="15"/>
    <w:bookmarkEnd w:id="16"/>
    <w:bookmarkStart w:id="17" w:name="Xf150eb74d3f3c075ca3d341c7c5d6d40f803353"/>
    <w:p>
      <w:pPr>
        <w:pStyle w:val="Heading2"/>
      </w:pPr>
      <w:r>
        <w:t xml:space="preserve">Capital management remains a central part of the thesis</w:t>
      </w:r>
    </w:p>
    <w:p>
      <w:pPr>
        <w:pStyle w:val="FirstParagraph"/>
      </w:pPr>
      <w:r>
        <w:t xml:space="preserve">AIG returned</w:t>
      </w:r>
      <w:r>
        <w:t xml:space="preserve"> </w:t>
      </w:r>
      <m:oMath>
        <m:r>
          <m:t>760</m:t>
        </m:r>
        <m:r>
          <m:t>m</m:t>
        </m:r>
        <m:r>
          <m:t>i</m:t>
        </m:r>
        <m:r>
          <m:t>l</m:t>
        </m:r>
        <m:r>
          <m:t>l</m:t>
        </m:r>
        <m:r>
          <m:t>i</m:t>
        </m:r>
        <m:r>
          <m:t>o</m:t>
        </m:r>
        <m:r>
          <m:t>n</m:t>
        </m:r>
        <m:r>
          <m:rPr>
            <m:sty m:val="p"/>
          </m:rPr>
          <m:t>*</m:t>
        </m:r>
        <m:r>
          <m:rPr>
            <m:sty m:val="p"/>
          </m:rPr>
          <m:t>*</m:t>
        </m:r>
        <m:r>
          <m:t>t</m:t>
        </m:r>
        <m:r>
          <m:t>o</m:t>
        </m:r>
        <m:r>
          <m:t>s</m:t>
        </m:r>
        <m:r>
          <m:t>h</m:t>
        </m:r>
        <m:r>
          <m:t>a</m:t>
        </m:r>
        <m:r>
          <m:t>r</m:t>
        </m:r>
        <m:r>
          <m:t>e</m:t>
        </m:r>
        <m:r>
          <m:t>h</m:t>
        </m:r>
        <m:r>
          <m:t>o</m:t>
        </m:r>
        <m:r>
          <m:t>l</m:t>
        </m:r>
        <m:r>
          <m:t>d</m:t>
        </m:r>
        <m:r>
          <m:t>e</m:t>
        </m:r>
        <m:r>
          <m:t>r</m:t>
        </m:r>
        <m:r>
          <m:t>s</m:t>
        </m:r>
        <m:r>
          <m:t>i</m:t>
        </m:r>
        <m:r>
          <m:t>n</m:t>
        </m:r>
        <m:r>
          <m:t>1</m:t>
        </m:r>
        <m:r>
          <m:t>Q</m:t>
        </m:r>
        <m:r>
          <m:rPr>
            <m:sty m:val="p"/>
          </m:rPr>
          <m:t>,</m:t>
        </m:r>
        <m:r>
          <m:t>i</m:t>
        </m:r>
        <m:r>
          <m:t>n</m:t>
        </m:r>
        <m:r>
          <m:t>c</m:t>
        </m:r>
        <m:r>
          <m:t>l</m:t>
        </m:r>
        <m:r>
          <m:t>u</m:t>
        </m:r>
        <m:r>
          <m:t>d</m:t>
        </m:r>
        <m:r>
          <m:t>i</m:t>
        </m:r>
        <m:r>
          <m:t>n</m:t>
        </m:r>
        <m:r>
          <m:t>g</m:t>
        </m:r>
        <m:r>
          <m:rPr>
            <m:sty m:val="p"/>
          </m:rPr>
          <m:t>*</m:t>
        </m:r>
        <m:r>
          <m:rPr>
            <m:sty m:val="p"/>
          </m:rPr>
          <m:t>*</m:t>
        </m:r>
      </m:oMath>
      <w:r>
        <w:rPr>
          <w:b/>
          <w:bCs/>
        </w:rPr>
        <w:t xml:space="preserve">519 million</w:t>
      </w:r>
      <w:r>
        <w:t xml:space="preserve"> </w:t>
      </w:r>
      <w:r>
        <w:t xml:space="preserve">of repurchases and</w:t>
      </w:r>
      <w:r>
        <w:t xml:space="preserve"> </w:t>
      </w:r>
      <m:oMath>
        <m:r>
          <m:t>241</m:t>
        </m:r>
        <m:r>
          <m:t>m</m:t>
        </m:r>
        <m:r>
          <m:t>i</m:t>
        </m:r>
        <m:r>
          <m:t>l</m:t>
        </m:r>
        <m:r>
          <m:t>l</m:t>
        </m:r>
        <m:r>
          <m:t>i</m:t>
        </m:r>
        <m:r>
          <m:t>o</m:t>
        </m:r>
        <m:r>
          <m:t>n</m:t>
        </m:r>
        <m:r>
          <m:rPr>
            <m:sty m:val="p"/>
          </m:rPr>
          <m:t>*</m:t>
        </m:r>
        <m:r>
          <m:rPr>
            <m:sty m:val="p"/>
          </m:rPr>
          <m:t>*</m:t>
        </m:r>
        <m:r>
          <m:t>o</m:t>
        </m:r>
        <m:r>
          <m:t>f</m:t>
        </m:r>
        <m:r>
          <m:t>d</m:t>
        </m:r>
        <m:r>
          <m:t>i</m:t>
        </m:r>
        <m:r>
          <m:t>v</m:t>
        </m:r>
        <m:r>
          <m:t>i</m:t>
        </m:r>
        <m:r>
          <m:t>d</m:t>
        </m:r>
        <m:r>
          <m:t>e</m:t>
        </m:r>
        <m:r>
          <m:t>n</m:t>
        </m:r>
        <m:r>
          <m:t>d</m:t>
        </m:r>
        <m:r>
          <m:t>s</m:t>
        </m:r>
        <m:r>
          <m:rPr>
            <m:sty m:val="p"/>
          </m:rPr>
          <m:t>.</m:t>
        </m:r>
        <m:r>
          <m:t>I</m:t>
        </m:r>
        <m:r>
          <m:t>t</m:t>
        </m:r>
        <m:r>
          <m:t>a</m:t>
        </m:r>
        <m:r>
          <m:t>l</m:t>
        </m:r>
        <m:r>
          <m:t>s</m:t>
        </m:r>
        <m:r>
          <m:t>o</m:t>
        </m:r>
        <m:r>
          <m:t>r</m:t>
        </m:r>
        <m:r>
          <m:t>a</m:t>
        </m:r>
        <m:r>
          <m:t>i</m:t>
        </m:r>
        <m:r>
          <m:t>s</m:t>
        </m:r>
        <m:r>
          <m:t>e</m:t>
        </m:r>
        <m:r>
          <m:t>d</m:t>
        </m:r>
        <m:r>
          <m:t>i</m:t>
        </m:r>
        <m:r>
          <m:t>t</m:t>
        </m:r>
        <m:r>
          <m:t>s</m:t>
        </m:r>
        <m:r>
          <m:t>q</m:t>
        </m:r>
        <m:r>
          <m:t>u</m:t>
        </m:r>
        <m:r>
          <m:t>a</m:t>
        </m:r>
        <m:r>
          <m:t>r</m:t>
        </m:r>
        <m:r>
          <m:t>t</m:t>
        </m:r>
        <m:r>
          <m:t>e</m:t>
        </m:r>
        <m:r>
          <m:t>r</m:t>
        </m:r>
        <m:r>
          <m:t>l</m:t>
        </m:r>
        <m:r>
          <m:t>y</m:t>
        </m:r>
        <m:r>
          <m:t>d</m:t>
        </m:r>
        <m:r>
          <m:t>i</m:t>
        </m:r>
        <m:r>
          <m:t>v</m:t>
        </m:r>
        <m:r>
          <m:t>i</m:t>
        </m:r>
        <m:r>
          <m:t>d</m:t>
        </m:r>
        <m:r>
          <m:t>e</m:t>
        </m:r>
        <m:r>
          <m:t>n</m:t>
        </m:r>
        <m:r>
          <m:t>d</m:t>
        </m:r>
        <m:r>
          <m:t>11</m:t>
        </m:r>
      </m:oMath>
      <w:r>
        <w:rPr>
          <w:b/>
          <w:bCs/>
        </w:rPr>
        <w:t xml:space="preserve">0.50 per share</w:t>
      </w:r>
      <w:r>
        <w:t xml:space="preserve">.</w:t>
      </w:r>
    </w:p>
    <w:p>
      <w:pPr>
        <w:pStyle w:val="BodyText"/>
      </w:pPr>
      <w:r>
        <w:t xml:space="preserve">At March 31, AIG still owned roughly</w:t>
      </w:r>
      <w:r>
        <w:t xml:space="preserve"> </w:t>
      </w:r>
      <w:r>
        <w:rPr>
          <w:b/>
          <w:bCs/>
        </w:rPr>
        <w:t xml:space="preserve">5.6% of Corebridge Financial</w:t>
      </w:r>
      <w:r>
        <w:t xml:space="preserve"> </w:t>
      </w:r>
      <w:r>
        <w:t xml:space="preserve">and said it expected to fully exit that remaining stake during 2026, subject to market conditions, with share repurchases expected to be the principal use of proceeds.</w:t>
      </w:r>
    </w:p>
    <w:p>
      <w:pPr>
        <w:pStyle w:val="BodyText"/>
      </w:pPr>
      <w:r>
        <w:t xml:space="preserve">Items to watch:</w:t>
      </w:r>
    </w:p>
    <w:p>
      <w:pPr>
        <w:pStyle w:val="Compact"/>
        <w:numPr>
          <w:ilvl w:val="0"/>
          <w:numId w:val="1006"/>
        </w:numPr>
      </w:pPr>
      <w:r>
        <w:rPr>
          <w:b/>
          <w:bCs/>
        </w:rPr>
        <w:t xml:space="preserve">How much Corebridge exposure remains</w:t>
      </w:r>
    </w:p>
    <w:p>
      <w:pPr>
        <w:pStyle w:val="Compact"/>
        <w:numPr>
          <w:ilvl w:val="0"/>
          <w:numId w:val="1006"/>
        </w:numPr>
      </w:pPr>
      <w:r>
        <w:rPr>
          <w:b/>
          <w:bCs/>
        </w:rPr>
        <w:t xml:space="preserve">Repurchase pace and average buyback price</w:t>
      </w:r>
    </w:p>
    <w:p>
      <w:pPr>
        <w:pStyle w:val="Compact"/>
        <w:numPr>
          <w:ilvl w:val="0"/>
          <w:numId w:val="1006"/>
        </w:numPr>
      </w:pPr>
      <w:r>
        <w:t xml:space="preserve">Whether management updates expected uses of excess capital</w:t>
      </w:r>
    </w:p>
    <w:p>
      <w:pPr>
        <w:pStyle w:val="Compact"/>
        <w:numPr>
          <w:ilvl w:val="0"/>
          <w:numId w:val="1006"/>
        </w:numPr>
      </w:pPr>
      <w:r>
        <w:t xml:space="preserve">Core operating book value per share, which was</w:t>
      </w:r>
      <w:r>
        <w:t xml:space="preserve"> </w:t>
      </w:r>
      <w:r>
        <w:rPr>
          <w:b/>
          <w:bCs/>
        </w:rPr>
        <w:t xml:space="preserve">$71.54</w:t>
      </w:r>
      <w:r>
        <w:t xml:space="preserve"> </w:t>
      </w:r>
      <w:r>
        <w:t xml:space="preserve">at March 31</w:t>
      </w:r>
    </w:p>
    <w:p>
      <w:pPr>
        <w:pStyle w:val="Compact"/>
        <w:numPr>
          <w:ilvl w:val="0"/>
          <w:numId w:val="1006"/>
        </w:numPr>
      </w:pPr>
      <w:r>
        <w:t xml:space="preserve">Debt leverage, which was</w:t>
      </w:r>
      <w:r>
        <w:t xml:space="preserve"> </w:t>
      </w:r>
      <w:r>
        <w:rPr>
          <w:b/>
          <w:bCs/>
        </w:rPr>
        <w:t xml:space="preserve">17.7%</w:t>
      </w:r>
      <w:r>
        <w:t xml:space="preserve"> </w:t>
      </w:r>
      <w:r>
        <w:t xml:space="preserve">on a total-debt-to-adjusted-capital basis at quarter-end</w:t>
      </w:r>
    </w:p>
    <w:p>
      <w:pPr>
        <w:pStyle w:val="FirstParagraph"/>
      </w:pPr>
      <w:r>
        <w:t xml:space="preserve">The capital-return opportunity is meaningful because AIG’s share count declined to</w:t>
      </w:r>
      <w:r>
        <w:t xml:space="preserve"> </w:t>
      </w:r>
      <w:r>
        <w:rPr>
          <w:b/>
          <w:bCs/>
        </w:rPr>
        <w:t xml:space="preserve">532.9 million</w:t>
      </w:r>
      <w:r>
        <w:t xml:space="preserve"> </w:t>
      </w:r>
      <w:r>
        <w:t xml:space="preserve">at the end of 1Q from 580.4 million a year earlier.</w:t>
      </w:r>
    </w:p>
    <w:p>
      <w:r>
        <w:pict>
          <v:rect style="width:0;height:1.5pt" o:hralign="center" o:hrstd="t" o:hr="t"/>
        </w:pict>
      </w:r>
    </w:p>
    <w:bookmarkEnd w:id="17"/>
    <w:bookmarkStart w:id="18" w:name="X7145fc216ae0d1afe7d2a914083182c7847e045"/>
    <w:p>
      <w:pPr>
        <w:pStyle w:val="Heading2"/>
      </w:pPr>
      <w:r>
        <w:t xml:space="preserve">Management and strategy: first full quarter under Eric Andersen</w:t>
      </w:r>
    </w:p>
    <w:p>
      <w:pPr>
        <w:pStyle w:val="FirstParagraph"/>
      </w:pPr>
      <w:r>
        <w:t xml:space="preserve">Eric Andersen became CEO on</w:t>
      </w:r>
      <w:r>
        <w:t xml:space="preserve"> </w:t>
      </w:r>
      <w:r>
        <w:rPr>
          <w:b/>
          <w:bCs/>
        </w:rPr>
        <w:t xml:space="preserve">June 1, 2026</w:t>
      </w:r>
      <w:r>
        <w:t xml:space="preserve">. At the 1Q call, he reaffirmed the existing Investor Day framework rather than signaling a strategic reset:</w:t>
      </w:r>
    </w:p>
    <w:p>
      <w:pPr>
        <w:pStyle w:val="Compact"/>
        <w:numPr>
          <w:ilvl w:val="0"/>
          <w:numId w:val="1007"/>
        </w:numPr>
      </w:pPr>
      <w:r>
        <w:t xml:space="preserve">More than</w:t>
      </w:r>
      <w:r>
        <w:t xml:space="preserve"> </w:t>
      </w:r>
      <w:r>
        <w:rPr>
          <w:b/>
          <w:bCs/>
        </w:rPr>
        <w:t xml:space="preserve">20% operating-EPS CAGR</w:t>
      </w:r>
      <w:r>
        <w:t xml:space="preserve"> </w:t>
      </w:r>
      <w:r>
        <w:t xml:space="preserve">through 2027</w:t>
      </w:r>
    </w:p>
    <w:p>
      <w:pPr>
        <w:pStyle w:val="Compact"/>
        <w:numPr>
          <w:ilvl w:val="0"/>
          <w:numId w:val="1007"/>
        </w:numPr>
      </w:pPr>
      <w:r>
        <w:rPr>
          <w:b/>
          <w:bCs/>
        </w:rPr>
        <w:t xml:space="preserve">10%–13% core operating ROE</w:t>
      </w:r>
      <w:r>
        <w:t xml:space="preserve"> </w:t>
      </w:r>
      <w:r>
        <w:t xml:space="preserve">through 2027</w:t>
      </w:r>
    </w:p>
    <w:p>
      <w:pPr>
        <w:pStyle w:val="Compact"/>
        <w:numPr>
          <w:ilvl w:val="0"/>
          <w:numId w:val="1007"/>
        </w:numPr>
      </w:pPr>
      <w:r>
        <w:t xml:space="preserve">General Insurance expense ratio below</w:t>
      </w:r>
      <w:r>
        <w:t xml:space="preserve"> </w:t>
      </w:r>
      <w:r>
        <w:rPr>
          <w:b/>
          <w:bCs/>
        </w:rPr>
        <w:t xml:space="preserve">30%</w:t>
      </w:r>
      <w:r>
        <w:t xml:space="preserve"> </w:t>
      </w:r>
      <w:r>
        <w:t xml:space="preserve">by 2027</w:t>
      </w:r>
    </w:p>
    <w:p>
      <w:pPr>
        <w:pStyle w:val="Compact"/>
        <w:numPr>
          <w:ilvl w:val="0"/>
          <w:numId w:val="1007"/>
        </w:numPr>
      </w:pPr>
      <w:r>
        <w:t xml:space="preserve">Continued double-digit dividend growth in 2026</w:t>
      </w:r>
    </w:p>
    <w:p>
      <w:pPr>
        <w:pStyle w:val="Compact"/>
        <w:numPr>
          <w:ilvl w:val="0"/>
          <w:numId w:val="1007"/>
        </w:numPr>
      </w:pPr>
      <w:r>
        <w:t xml:space="preserve">Global Personal combined ratio of</w:t>
      </w:r>
      <w:r>
        <w:t xml:space="preserve"> </w:t>
      </w:r>
      <w:r>
        <w:rPr>
          <w:b/>
          <w:bCs/>
        </w:rPr>
        <w:t xml:space="preserve">94%</w:t>
      </w:r>
      <w:r>
        <w:t xml:space="preserve"> </w:t>
      </w:r>
      <w:r>
        <w:t xml:space="preserve">by 2027</w:t>
      </w:r>
    </w:p>
    <w:p>
      <w:pPr>
        <w:pStyle w:val="FirstParagraph"/>
      </w:pPr>
      <w:r>
        <w:t xml:space="preserve">The 2Q call is likely to be investors’ first substantive opportunity to evaluate Andersen’s operating priorities, capital-allocation philosophy, tolerance for property contraction, and appetite for additional transactions. Continuity should be viewed positively, but investors will want tangible proof that execution remains strong after the leadership transition.</w:t>
      </w:r>
    </w:p>
    <w:p>
      <w:r>
        <w:pict>
          <v:rect style="width:0;height:1.5pt" o:hralign="center" o:hrstd="t" o:hr="t"/>
        </w:pict>
      </w:r>
    </w:p>
    <w:bookmarkEnd w:id="18"/>
    <w:bookmarkStart w:id="19" w:name="stock-setup"/>
    <w:p>
      <w:pPr>
        <w:pStyle w:val="Heading2"/>
      </w:pPr>
      <w:r>
        <w:t xml:space="preserve">Stock setup</w:t>
      </w:r>
    </w:p>
    <w:p>
      <w:pPr>
        <w:pStyle w:val="FirstParagraph"/>
      </w:pPr>
      <w:r>
        <w:t xml:space="preserve">AIG closed at</w:t>
      </w:r>
      <w:r>
        <w:t xml:space="preserve"> </w:t>
      </w:r>
      <w:r>
        <w:rPr>
          <w:b/>
          <w:bCs/>
        </w:rPr>
        <w:t xml:space="preserve">$80.14 on August 5</w:t>
      </w:r>
      <w:r>
        <w:t xml:space="preserve">. That is approximately</w:t>
      </w:r>
      <w:r>
        <w:t xml:space="preserve"> </w:t>
      </w:r>
      <w:r>
        <w:rPr>
          <w:b/>
          <w:bCs/>
        </w:rPr>
        <w:t xml:space="preserve">6.3% below</w:t>
      </w:r>
      <w:r>
        <w:t xml:space="preserve"> </w:t>
      </w:r>
      <w:r>
        <w:t xml:space="preserve">its December 31, 2025 close, but about</w:t>
      </w:r>
      <w:r>
        <w:t xml:space="preserve"> </w:t>
      </w:r>
      <w:r>
        <w:rPr>
          <w:b/>
          <w:bCs/>
        </w:rPr>
        <w:t xml:space="preserve">7.5% above</w:t>
      </w:r>
      <w:r>
        <w:t xml:space="preserve"> </w:t>
      </w:r>
      <w:r>
        <w:t xml:space="preserve">its June 30 close. The shares gained roughly</w:t>
      </w:r>
      <w:r>
        <w:t xml:space="preserve"> </w:t>
      </w:r>
      <w:r>
        <w:rPr>
          <w:b/>
          <w:bCs/>
        </w:rPr>
        <w:t xml:space="preserve">1.7%</w:t>
      </w:r>
      <w:r>
        <w:t xml:space="preserve"> </w:t>
      </w:r>
      <w:r>
        <w:t xml:space="preserve">from the April 30 close to the May 1 close following the strong 1Q report.</w:t>
      </w:r>
    </w:p>
    <w:p>
      <w:pPr>
        <w:pStyle w:val="BodyText"/>
      </w:pPr>
      <w:r>
        <w:t xml:space="preserve">That setup suggests investors have recognized some of the improvement but remain cautious about the durability of margins, the property cycle, and the pace at which written-premium growth turns into earned-premium growth.</w:t>
      </w:r>
    </w:p>
    <w:p>
      <w:r>
        <w:pict>
          <v:rect style="width:0;height:1.5pt" o:hralign="center" o:hrstd="t" o:hr="t"/>
        </w:pict>
      </w:r>
    </w:p>
    <w:bookmarkEnd w:id="19"/>
    <w:bookmarkStart w:id="23" w:name="bull-bear-and-swing-factors"/>
    <w:p>
      <w:pPr>
        <w:pStyle w:val="Heading2"/>
      </w:pPr>
      <w:r>
        <w:t xml:space="preserve">Bull, bear, and swing factors</w:t>
      </w:r>
    </w:p>
    <w:bookmarkStart w:id="20" w:name="bull-case"/>
    <w:p>
      <w:pPr>
        <w:pStyle w:val="Heading3"/>
      </w:pPr>
      <w:r>
        <w:t xml:space="preserve">Bull case</w:t>
      </w:r>
    </w:p>
    <w:p>
      <w:pPr>
        <w:pStyle w:val="Compact"/>
        <w:numPr>
          <w:ilvl w:val="0"/>
          <w:numId w:val="1008"/>
        </w:numPr>
      </w:pPr>
      <w:r>
        <w:t xml:space="preserve">Earned-premium growth begins to accelerate.</w:t>
      </w:r>
    </w:p>
    <w:p>
      <w:pPr>
        <w:pStyle w:val="Compact"/>
        <w:numPr>
          <w:ilvl w:val="0"/>
          <w:numId w:val="1008"/>
        </w:numPr>
      </w:pPr>
      <w:r>
        <w:t xml:space="preserve">AYCR remains firmly below 90%, supported by expense leverage.</w:t>
      </w:r>
    </w:p>
    <w:p>
      <w:pPr>
        <w:pStyle w:val="Compact"/>
        <w:numPr>
          <w:ilvl w:val="0"/>
          <w:numId w:val="1008"/>
        </w:numPr>
      </w:pPr>
      <w:r>
        <w:t xml:space="preserve">Global Personal’s profitability improvement proves durable.</w:t>
      </w:r>
    </w:p>
    <w:p>
      <w:pPr>
        <w:pStyle w:val="Compact"/>
        <w:numPr>
          <w:ilvl w:val="0"/>
          <w:numId w:val="1008"/>
        </w:numPr>
      </w:pPr>
      <w:r>
        <w:t xml:space="preserve">Core fixed-income income rises while alternatives are only a modest drag.</w:t>
      </w:r>
    </w:p>
    <w:p>
      <w:pPr>
        <w:pStyle w:val="Compact"/>
        <w:numPr>
          <w:ilvl w:val="0"/>
          <w:numId w:val="1008"/>
        </w:numPr>
      </w:pPr>
      <w:r>
        <w:t xml:space="preserve">Corebridge monetization fuels a larger repurchase cadence.</w:t>
      </w:r>
    </w:p>
    <w:p>
      <w:pPr>
        <w:pStyle w:val="Compact"/>
        <w:numPr>
          <w:ilvl w:val="0"/>
          <w:numId w:val="1008"/>
        </w:numPr>
      </w:pPr>
      <w:r>
        <w:t xml:space="preserve">Management reinforces confidence in the 2027 operating-EPS and ROE targets.</w:t>
      </w:r>
    </w:p>
    <w:bookmarkEnd w:id="20"/>
    <w:bookmarkStart w:id="21" w:name="bear-case"/>
    <w:p>
      <w:pPr>
        <w:pStyle w:val="Heading3"/>
      </w:pPr>
      <w:r>
        <w:t xml:space="preserve">Bear case</w:t>
      </w:r>
    </w:p>
    <w:p>
      <w:pPr>
        <w:pStyle w:val="Compact"/>
        <w:numPr>
          <w:ilvl w:val="0"/>
          <w:numId w:val="1009"/>
        </w:numPr>
      </w:pPr>
      <w:r>
        <w:t xml:space="preserve">U.S. property price declines and weakening terms spread more broadly into casualty.</w:t>
      </w:r>
    </w:p>
    <w:p>
      <w:pPr>
        <w:pStyle w:val="Compact"/>
        <w:numPr>
          <w:ilvl w:val="0"/>
          <w:numId w:val="1009"/>
        </w:numPr>
      </w:pPr>
      <w:r>
        <w:t xml:space="preserve">Property contraction is larger than expected and redeployment opportunities are insufficient.</w:t>
      </w:r>
    </w:p>
    <w:p>
      <w:pPr>
        <w:pStyle w:val="Compact"/>
        <w:numPr>
          <w:ilvl w:val="0"/>
          <w:numId w:val="1009"/>
        </w:numPr>
      </w:pPr>
      <w:r>
        <w:t xml:space="preserve">The loss ratio deteriorates beyond explainable mix effects.</w:t>
      </w:r>
    </w:p>
    <w:p>
      <w:pPr>
        <w:pStyle w:val="Compact"/>
        <w:numPr>
          <w:ilvl w:val="0"/>
          <w:numId w:val="1009"/>
        </w:numPr>
      </w:pPr>
      <w:r>
        <w:t xml:space="preserve">Catastrophe losses or reserve development offset underlying improvement.</w:t>
      </w:r>
    </w:p>
    <w:p>
      <w:pPr>
        <w:pStyle w:val="Compact"/>
        <w:numPr>
          <w:ilvl w:val="0"/>
          <w:numId w:val="1009"/>
        </w:numPr>
      </w:pPr>
      <w:r>
        <w:t xml:space="preserve">Alternative investments and lower parent liquidity pressure non-underwriting earnings.</w:t>
      </w:r>
    </w:p>
    <w:p>
      <w:pPr>
        <w:pStyle w:val="Compact"/>
        <w:numPr>
          <w:ilvl w:val="0"/>
          <w:numId w:val="1009"/>
        </w:numPr>
      </w:pPr>
      <w:r>
        <w:t xml:space="preserve">The call introduces ambiguity around capital deployment or the new CEO’s strategic priorities.</w:t>
      </w:r>
    </w:p>
    <w:bookmarkEnd w:id="21"/>
    <w:bookmarkStart w:id="22" w:name="most-likely-swing-factor"/>
    <w:p>
      <w:pPr>
        <w:pStyle w:val="Heading3"/>
      </w:pPr>
      <w:r>
        <w:t xml:space="preserve">Most likely swing factor</w:t>
      </w:r>
    </w:p>
    <w:p>
      <w:pPr>
        <w:pStyle w:val="FirstParagraph"/>
      </w:pPr>
      <w:r>
        <w:t xml:space="preserve">The decisive variable is likely to be</w:t>
      </w:r>
      <w:r>
        <w:t xml:space="preserve"> </w:t>
      </w:r>
      <w:r>
        <w:rPr>
          <w:b/>
          <w:bCs/>
        </w:rPr>
        <w:t xml:space="preserve">whether AIG can trade some near-term property premium growth for better-quality casualty, specialty, middle-market, and international growth while keeping the AYCR and expense trajectory intact</w:t>
      </w:r>
      <w:r>
        <w:t xml:space="preserve">. If it can, lower property volume should be interpreted as value-protective rather than disappointing.</w:t>
      </w:r>
    </w:p>
    <w:p>
      <w:r>
        <w:pict>
          <v:rect style="width:0;height:1.5pt" o:hralign="center" o:hrstd="t" o:hr="t"/>
        </w:pict>
      </w:r>
    </w:p>
    <w:bookmarkEnd w:id="22"/>
    <w:bookmarkEnd w:id="23"/>
    <w:bookmarkStart w:id="24" w:name="bottom-line"/>
    <w:p>
      <w:pPr>
        <w:pStyle w:val="Heading2"/>
      </w:pPr>
      <w:r>
        <w:t xml:space="preserve">Bottom line</w:t>
      </w:r>
    </w:p>
    <w:p>
      <w:pPr>
        <w:pStyle w:val="FirstParagraph"/>
      </w:pPr>
      <w:r>
        <w:t xml:space="preserve">AIG’s 2Q26 report is principally a</w:t>
      </w:r>
      <w:r>
        <w:t xml:space="preserve"> </w:t>
      </w:r>
      <w:r>
        <w:rPr>
          <w:b/>
          <w:bCs/>
        </w:rPr>
        <w:t xml:space="preserve">quality-of-earnings and durability</w:t>
      </w:r>
      <w:r>
        <w:t xml:space="preserve"> </w:t>
      </w:r>
      <w:r>
        <w:t xml:space="preserve">test. The company has already shown it can generate strong underwriting results, improve Global Personal, raise investment income, and return substantial capital. Now it must show that those gains are resilient in a softer property market and under new leadership.</w:t>
      </w:r>
    </w:p>
    <w:p>
      <w:pPr>
        <w:pStyle w:val="BodyText"/>
      </w:pPr>
      <w:r>
        <w:t xml:space="preserve">The most constructive outcome would pair disciplined property shrinkage with strong retained business, improving earned-premium growth, an AYCR in the high-80s, continued Global Personal progress, and a clear path for Corebridge-sale proceeds to flow into buybacks.</w:t>
      </w:r>
    </w:p>
    <w:p>
      <w:pPr>
        <w:pStyle w:val="BodyText"/>
      </w:pPr>
      <w:r>
        <w:rPr>
          <w:i/>
          <w:iCs/>
        </w:rPr>
        <w:t xml:space="preserve">Key source materials reviewed: AIG 1Q26 earnings release, 1Q26 earnings-call transcript, AIG 1Q26 Form 10-Q, and 2Q26 peer earnings releases from Chubb and The Hartford.</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2026-08-06T01:19:43Z</dcterms:created>
  <dcterms:modified xsi:type="dcterms:W3CDTF">2026-08-06T01:19:43Z</dcterms:modified>
</cp:coreProperties>
</file>

<file path=docProps/custom.xml><?xml version="1.0" encoding="utf-8"?>
<Properties xmlns="http://schemas.openxmlformats.org/officeDocument/2006/custom-properties" xmlns:vt="http://schemas.openxmlformats.org/officeDocument/2006/docPropsVTypes"/>
</file>