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AIG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American International Group, Inc. (AIG)</w:t>
            </w:r>
          </w:p>
        </w:tc>
      </w:tr>
      <w:tr>
        <w:tc>
          <w:tcPr>
            <w:tcW w:type="dxa" w:w="4320"/>
          </w:tcPr>
          <w:p>
            <w:r>
              <w:rPr>
                <w:rFonts w:ascii="Calibri" w:hAnsi="Calibri"/>
                <w:b/>
                <w:sz w:val="22"/>
              </w:rPr>
              <w:t>Earnings Date</w:t>
            </w:r>
          </w:p>
        </w:tc>
        <w:tc>
          <w:tcPr>
            <w:tcW w:type="dxa" w:w="4320"/>
          </w:tcPr>
          <w:p>
            <w:r>
              <w:rPr>
                <w:rFonts w:ascii="Calibri" w:hAnsi="Calibri"/>
                <w:sz w:val="22"/>
              </w:rPr>
              <w:t>August 6, 2026 (results after market close) | August 7, 2026 (conference call)</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w:t>
            </w:r>
          </w:p>
        </w:tc>
        <w:tc>
          <w:tcPr>
            <w:tcW w:type="dxa" w:w="4320"/>
          </w:tcPr>
          <w:p>
            <w:r>
              <w:rPr>
                <w:rFonts w:ascii="Calibri" w:hAnsi="Calibri"/>
                <w:sz w:val="22"/>
              </w:rPr>
              <w:t>August 5, 2026</w:t>
            </w:r>
          </w:p>
        </w:tc>
      </w:tr>
      <w:tr>
        <w:tc>
          <w:tcPr>
            <w:tcW w:type="dxa" w:w="4320"/>
          </w:tcPr>
          <w:p>
            <w:r>
              <w:rPr>
                <w:rFonts w:ascii="Calibri" w:hAnsi="Calibri"/>
                <w:b/>
                <w:sz w:val="22"/>
              </w:rPr>
              <w:t>Sector ETF (Benchmark)</w:t>
            </w:r>
          </w:p>
        </w:tc>
        <w:tc>
          <w:tcPr>
            <w:tcW w:type="dxa" w:w="4320"/>
          </w:tcPr>
          <w:p>
            <w:r>
              <w:rPr>
                <w:rFonts w:ascii="Calibri" w:hAnsi="Calibri"/>
                <w:sz w:val="22"/>
              </w:rPr>
              <w:t>KIE — SPDR S&amp;P Insurance ETF (P&amp;C Insurance sub-sector)</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constructive but not a slam-dunk beat — </w:t>
      </w:r>
      <w:r>
        <w:rPr>
          <w:rFonts w:ascii="Calibri" w:hAnsi="Calibri"/>
          <w:b/>
          <w:color w:val="525866"/>
          <w:sz w:val="22"/>
        </w:rPr>
        <w:t>the combined ratio is the biggest swing factor</w:t>
      </w:r>
      <w:r>
        <w:rPr>
          <w:rFonts w:ascii="Calibri" w:hAnsi="Calibri"/>
          <w:color w:val="525866"/>
          <w:sz w:val="22"/>
        </w:rPr>
        <w:t>, with consensus sitting at ~90.2% versus AIG’s recent run of sub-88% prints, leaving meaningful room to outperform if catastrophe losses remain benign and the Everest portfolio integration stays on track.</w:t>
      </w:r>
    </w:p>
    <w:p>
      <w:r>
        <w:rPr>
          <w:rFonts w:ascii="Calibri" w:hAnsi="Calibri"/>
          <w:color w:val="525866"/>
          <w:sz w:val="22"/>
        </w:rPr>
        <w:t xml:space="preserve">Heading into Q2 2026, the bar for AIG looks achievable but not easy. Consensus EPS of $1.90 implies a modest step-down from the exceptional $2.11 Q1 2026 print, largely reflecting management’s own guidance that </w:t>
      </w:r>
      <w:r>
        <w:rPr>
          <w:rFonts w:ascii="Calibri" w:hAnsi="Calibri"/>
          <w:b/>
          <w:color w:val="525866"/>
          <w:sz w:val="22"/>
        </w:rPr>
        <w:t>alternative investment returns will remain below expectations</w:t>
      </w:r>
      <w:r>
        <w:rPr>
          <w:rFonts w:ascii="Calibri" w:hAnsi="Calibri"/>
          <w:color w:val="525866"/>
          <w:sz w:val="22"/>
        </w:rPr>
        <w:t xml:space="preserve"> due to Q1 public market volatility — a known headwind that is already in the numbers. Management’s tone on the Q1 call was highly confident, with new CEO Eric Andersen explicitly reaffirming all Investor Day targets (&gt;20% operating EPS CAGR through 2027, core operating ROE of 10–13%), and the company has not issued any negative pre-announcement since. Estimate revisions have been modestly positive since the Q1 print, with the FY 2026 EPS consensus edging up from $8.01 to $7.98 (a slight drift lower on the quarter but FY broadly stable), suggesting the Street is not aggressively chasing the beat. The stock has rallied ~7% since the Q1 earnings date (April 30) but has lagged the KIE insurance ETF (+13%), implying AIG has not fully priced in sector-wide re-rating and still offers relative upside if underwriting results surprise. The key wildcard is </w:t>
      </w:r>
      <w:r>
        <w:rPr>
          <w:rFonts w:ascii="Calibri" w:hAnsi="Calibri"/>
          <w:b/>
          <w:color w:val="525866"/>
          <w:sz w:val="22"/>
        </w:rPr>
        <w:t>catastrophe loss experience in Q2</w:t>
      </w:r>
      <w:r>
        <w:rPr>
          <w:rFonts w:ascii="Calibri" w:hAnsi="Calibri"/>
          <w:color w:val="525866"/>
          <w:sz w:val="22"/>
        </w:rPr>
        <w:t>: peer commentary from Travelers and W.R. Berkley points to a relatively benign cat quarter (~$62–$400M industry losses), which, if confirmed for AIG, could drive a combined ratio well inside the 90.2% consensus and trigger another meaningful beat.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moderate bar on the combined ratio (~90.2% vs. AIG’s recent sub-88% actuals), while the EPS estimate of $1.90 already bakes in the guided alternative investment headwind — </w:t>
      </w:r>
      <w:r>
        <w:rPr>
          <w:rFonts w:ascii="Calibri" w:hAnsi="Calibri"/>
          <w:b/>
          <w:color w:val="525866"/>
          <w:sz w:val="22"/>
        </w:rPr>
        <w:t>the combined ratio is the bigger swing factor</w:t>
      </w:r>
      <w:r>
        <w:rPr>
          <w:rFonts w:ascii="Calibri" w:hAnsi="Calibri"/>
          <w:color w:val="525866"/>
          <w:sz w:val="22"/>
        </w:rPr>
        <w:t>, and any outperformance there could drive a meaningful EPS beat.</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 Actual)</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 (% delta)</w:t>
            </w:r>
          </w:p>
        </w:tc>
      </w:tr>
      <w:tr>
        <w:tc>
          <w:tcPr>
            <w:tcW w:type="dxa" w:w="1234"/>
          </w:tcPr>
          <w:p>
            <w:r>
              <w:rPr>
                <w:rFonts w:ascii="Calibri" w:hAnsi="Calibri"/>
                <w:sz w:val="22"/>
              </w:rPr>
              <w:t>Adj. Operating EPS ($)</w:t>
            </w:r>
          </w:p>
        </w:tc>
        <w:tc>
          <w:tcPr>
            <w:tcW w:type="dxa" w:w="1234"/>
          </w:tcPr>
          <w:p>
            <w:r>
              <w:rPr>
                <w:rFonts w:ascii="Calibri" w:hAnsi="Calibri"/>
                <w:sz w:val="22"/>
              </w:rPr>
              <w:t>$2.11</w:t>
            </w:r>
          </w:p>
        </w:tc>
        <w:tc>
          <w:tcPr>
            <w:tcW w:type="dxa" w:w="1234"/>
          </w:tcPr>
          <w:p>
            <w:r>
              <w:rPr>
                <w:rFonts w:ascii="Calibri" w:hAnsi="Calibri"/>
                <w:sz w:val="22"/>
              </w:rPr>
              <w:t>$1.81</w:t>
            </w:r>
          </w:p>
        </w:tc>
        <w:tc>
          <w:tcPr>
            <w:tcW w:type="dxa" w:w="1234"/>
          </w:tcPr>
          <w:p>
            <w:r>
              <w:rPr>
                <w:rFonts w:ascii="Calibri" w:hAnsi="Calibri"/>
                <w:sz w:val="22"/>
              </w:rPr>
              <w:t>$1.90</w:t>
            </w:r>
          </w:p>
        </w:tc>
        <w:tc>
          <w:tcPr>
            <w:tcW w:type="dxa" w:w="1234"/>
          </w:tcPr>
          <w:p>
            <w:r>
              <w:rPr>
                <w:rFonts w:ascii="Calibri" w:hAnsi="Calibri"/>
                <w:sz w:val="22"/>
              </w:rPr>
              <w:t>+5.0%</w:t>
            </w:r>
          </w:p>
        </w:tc>
        <w:tc>
          <w:tcPr>
            <w:tcW w:type="dxa" w:w="1234"/>
          </w:tcPr>
          <w:p>
            <w:r>
              <w:rPr>
                <w:rFonts w:ascii="Calibri" w:hAnsi="Calibri"/>
                <w:sz w:val="22"/>
              </w:rPr>
              <w:t>No specific Q2 guidance; FY 2026 &gt;20% CAGR target (Investor Day)</w:t>
            </w:r>
          </w:p>
        </w:tc>
        <w:tc>
          <w:tcPr>
            <w:tcW w:type="dxa" w:w="1234"/>
          </w:tcPr>
          <w:p>
            <w:r>
              <w:rPr>
                <w:rFonts w:ascii="Calibri" w:hAnsi="Calibri"/>
                <w:sz w:val="22"/>
              </w:rPr>
              <w:t>N/A (no Q2 point guidance)</w:t>
            </w:r>
          </w:p>
        </w:tc>
      </w:tr>
      <w:tr>
        <w:tc>
          <w:tcPr>
            <w:tcW w:type="dxa" w:w="1234"/>
          </w:tcPr>
          <w:p>
            <w:r>
              <w:rPr>
                <w:rFonts w:ascii="Calibri" w:hAnsi="Calibri"/>
                <w:sz w:val="22"/>
              </w:rPr>
              <w:t>Combined Ratio — General Insurance (%)</w:t>
            </w:r>
          </w:p>
        </w:tc>
        <w:tc>
          <w:tcPr>
            <w:tcW w:type="dxa" w:w="1234"/>
          </w:tcPr>
          <w:p>
            <w:r>
              <w:rPr>
                <w:rFonts w:ascii="Calibri" w:hAnsi="Calibri"/>
                <w:sz w:val="22"/>
              </w:rPr>
              <w:t>87.2%</w:t>
            </w:r>
          </w:p>
        </w:tc>
        <w:tc>
          <w:tcPr>
            <w:tcW w:type="dxa" w:w="1234"/>
          </w:tcPr>
          <w:p>
            <w:r>
              <w:rPr>
                <w:rFonts w:ascii="Calibri" w:hAnsi="Calibri"/>
                <w:sz w:val="22"/>
              </w:rPr>
              <w:t>89.4%</w:t>
            </w:r>
          </w:p>
        </w:tc>
        <w:tc>
          <w:tcPr>
            <w:tcW w:type="dxa" w:w="1234"/>
          </w:tcPr>
          <w:p>
            <w:r>
              <w:rPr>
                <w:rFonts w:ascii="Calibri" w:hAnsi="Calibri"/>
                <w:sz w:val="22"/>
              </w:rPr>
              <w:t>90.2%</w:t>
            </w:r>
          </w:p>
        </w:tc>
        <w:tc>
          <w:tcPr>
            <w:tcW w:type="dxa" w:w="1234"/>
          </w:tcPr>
          <w:p>
            <w:r>
              <w:rPr>
                <w:rFonts w:ascii="Calibri" w:hAnsi="Calibri"/>
                <w:sz w:val="22"/>
              </w:rPr>
              <w:t>-0.8 pts YoY (improvement)</w:t>
            </w:r>
          </w:p>
        </w:tc>
        <w:tc>
          <w:tcPr>
            <w:tcW w:type="dxa" w:w="1234"/>
          </w:tcPr>
          <w:p>
            <w:r>
              <w:rPr>
                <w:rFonts w:ascii="Calibri" w:hAnsi="Calibri"/>
                <w:sz w:val="22"/>
              </w:rPr>
              <w:t>No explicit Q2 CR guidance; Investor Day target sub-90% sustained; mgmt flagged potential property attritional loss ratio deterioration</w:t>
            </w:r>
          </w:p>
        </w:tc>
        <w:tc>
          <w:tcPr>
            <w:tcW w:type="dxa" w:w="1234"/>
          </w:tcPr>
          <w:p>
            <w:r>
              <w:rPr>
                <w:rFonts w:ascii="Calibri" w:hAnsi="Calibri"/>
                <w:sz w:val="22"/>
              </w:rPr>
              <w:t>N/A (no Q2 point guidance)</w:t>
            </w:r>
          </w:p>
        </w:tc>
      </w:tr>
      <w:tr>
        <w:tc>
          <w:tcPr>
            <w:tcW w:type="dxa" w:w="1234"/>
          </w:tcPr>
          <w:p>
            <w:r>
              <w:rPr>
                <w:rFonts w:ascii="Calibri" w:hAnsi="Calibri"/>
                <w:sz w:val="22"/>
              </w:rPr>
              <w:t>Net Premiums Written — General Insurance ($B)</w:t>
            </w:r>
          </w:p>
        </w:tc>
        <w:tc>
          <w:tcPr>
            <w:tcW w:type="dxa" w:w="1234"/>
          </w:tcPr>
          <w:p>
            <w:r>
              <w:rPr>
                <w:rFonts w:ascii="Calibri" w:hAnsi="Calibri"/>
                <w:sz w:val="22"/>
              </w:rPr>
              <w:t>$5.60B</w:t>
            </w:r>
          </w:p>
        </w:tc>
        <w:tc>
          <w:tcPr>
            <w:tcW w:type="dxa" w:w="1234"/>
          </w:tcPr>
          <w:p>
            <w:r>
              <w:rPr>
                <w:rFonts w:ascii="Calibri" w:hAnsi="Calibri"/>
                <w:sz w:val="22"/>
              </w:rPr>
              <w:t>$6.88B</w:t>
            </w:r>
          </w:p>
        </w:tc>
        <w:tc>
          <w:tcPr>
            <w:tcW w:type="dxa" w:w="1234"/>
          </w:tcPr>
          <w:p>
            <w:r>
              <w:rPr>
                <w:rFonts w:ascii="Calibri" w:hAnsi="Calibri"/>
                <w:sz w:val="22"/>
              </w:rPr>
              <w:t>$7.61B</w:t>
            </w:r>
          </w:p>
        </w:tc>
        <w:tc>
          <w:tcPr>
            <w:tcW w:type="dxa" w:w="1234"/>
          </w:tcPr>
          <w:p>
            <w:r>
              <w:rPr>
                <w:rFonts w:ascii="Calibri" w:hAnsi="Calibri"/>
                <w:sz w:val="22"/>
              </w:rPr>
              <w:t>+10.6% YoY</w:t>
            </w:r>
          </w:p>
        </w:tc>
        <w:tc>
          <w:tcPr>
            <w:tcW w:type="dxa" w:w="1234"/>
          </w:tcPr>
          <w:p>
            <w:r>
              <w:rPr>
                <w:rFonts w:ascii="Calibri" w:hAnsi="Calibri"/>
                <w:sz w:val="22"/>
              </w:rPr>
              <w:t>Low to mid-teens NPW growth for FY 2026 (Q1 2026 earnings call)</w:t>
            </w:r>
          </w:p>
        </w:tc>
        <w:tc>
          <w:tcPr>
            <w:tcW w:type="dxa" w:w="1234"/>
          </w:tcPr>
          <w:p>
            <w:r>
              <w:rPr>
                <w:rFonts w:ascii="Calibri" w:hAnsi="Calibri"/>
                <w:sz w:val="22"/>
              </w:rPr>
              <w:t>In line with guidance range</w:t>
            </w:r>
          </w:p>
        </w:tc>
      </w:tr>
      <w:tr>
        <w:tc>
          <w:tcPr>
            <w:tcW w:type="dxa" w:w="1234"/>
          </w:tcPr>
          <w:p>
            <w:r>
              <w:rPr>
                <w:rFonts w:ascii="Calibri" w:hAnsi="Calibri"/>
                <w:sz w:val="22"/>
              </w:rPr>
              <w:t>Net Investment Income — Operating ($M)</w:t>
            </w:r>
          </w:p>
        </w:tc>
        <w:tc>
          <w:tcPr>
            <w:tcW w:type="dxa" w:w="1234"/>
          </w:tcPr>
          <w:p>
            <w:r>
              <w:rPr>
                <w:rFonts w:ascii="Calibri" w:hAnsi="Calibri"/>
                <w:sz w:val="22"/>
              </w:rPr>
              <w:t>$864M</w:t>
            </w:r>
          </w:p>
        </w:tc>
        <w:tc>
          <w:tcPr>
            <w:tcW w:type="dxa" w:w="1234"/>
          </w:tcPr>
          <w:p>
            <w:r>
              <w:rPr>
                <w:rFonts w:ascii="Calibri" w:hAnsi="Calibri"/>
                <w:sz w:val="22"/>
              </w:rPr>
              <w:t>$959M</w:t>
            </w:r>
          </w:p>
        </w:tc>
        <w:tc>
          <w:tcPr>
            <w:tcW w:type="dxa" w:w="1234"/>
          </w:tcPr>
          <w:p>
            <w:r>
              <w:rPr>
                <w:rFonts w:ascii="Calibri" w:hAnsi="Calibri"/>
                <w:sz w:val="22"/>
              </w:rPr>
              <w:t>$917M</w:t>
            </w:r>
          </w:p>
        </w:tc>
        <w:tc>
          <w:tcPr>
            <w:tcW w:type="dxa" w:w="1234"/>
          </w:tcPr>
          <w:p>
            <w:r>
              <w:rPr>
                <w:rFonts w:ascii="Calibri" w:hAnsi="Calibri"/>
                <w:sz w:val="22"/>
              </w:rPr>
              <w:t>-4.4% YoY</w:t>
            </w:r>
          </w:p>
        </w:tc>
        <w:tc>
          <w:tcPr>
            <w:tcW w:type="dxa" w:w="1234"/>
          </w:tcPr>
          <w:p>
            <w:r>
              <w:rPr>
                <w:rFonts w:ascii="Calibri" w:hAnsi="Calibri"/>
                <w:sz w:val="22"/>
              </w:rPr>
              <w:t>Other Ops NII: $30–40M in Q2; alt returns expected below target due to Q1 market volatility</w:t>
            </w:r>
          </w:p>
        </w:tc>
        <w:tc>
          <w:tcPr>
            <w:tcW w:type="dxa" w:w="1234"/>
          </w:tcPr>
          <w:p>
            <w:r>
              <w:rPr>
                <w:rFonts w:ascii="Calibri" w:hAnsi="Calibri"/>
                <w:sz w:val="22"/>
              </w:rPr>
              <w:t>Broadly in line; alt headwind already guided</w:t>
            </w:r>
          </w:p>
        </w:tc>
      </w:tr>
      <w:tr>
        <w:tc>
          <w:tcPr>
            <w:tcW w:type="dxa" w:w="1234"/>
          </w:tcPr>
          <w:p>
            <w:r>
              <w:rPr>
                <w:rFonts w:ascii="Calibri" w:hAnsi="Calibri"/>
                <w:sz w:val="22"/>
              </w:rPr>
              <w:t>Underwriting Income — General Insurance ($M)</w:t>
            </w:r>
          </w:p>
        </w:tc>
        <w:tc>
          <w:tcPr>
            <w:tcW w:type="dxa" w:w="1234"/>
          </w:tcPr>
          <w:p>
            <w:r>
              <w:rPr>
                <w:rFonts w:ascii="Calibri" w:hAnsi="Calibri"/>
                <w:sz w:val="22"/>
              </w:rPr>
              <w:t>$774M</w:t>
            </w:r>
          </w:p>
        </w:tc>
        <w:tc>
          <w:tcPr>
            <w:tcW w:type="dxa" w:w="1234"/>
          </w:tcPr>
          <w:p>
            <w:r>
              <w:rPr>
                <w:rFonts w:ascii="Calibri" w:hAnsi="Calibri"/>
                <w:sz w:val="22"/>
              </w:rPr>
              <w:t>$626M</w:t>
            </w:r>
          </w:p>
        </w:tc>
        <w:tc>
          <w:tcPr>
            <w:tcW w:type="dxa" w:w="1234"/>
          </w:tcPr>
          <w:p>
            <w:r>
              <w:rPr>
                <w:rFonts w:ascii="Calibri" w:hAnsi="Calibri"/>
                <w:sz w:val="22"/>
              </w:rPr>
              <w:t>$621M</w:t>
            </w:r>
          </w:p>
        </w:tc>
        <w:tc>
          <w:tcPr>
            <w:tcW w:type="dxa" w:w="1234"/>
          </w:tcPr>
          <w:p>
            <w:r>
              <w:rPr>
                <w:rFonts w:ascii="Calibri" w:hAnsi="Calibri"/>
                <w:sz w:val="22"/>
              </w:rPr>
              <w:t>-0.8% YoY</w:t>
            </w:r>
          </w:p>
        </w:tc>
        <w:tc>
          <w:tcPr>
            <w:tcW w:type="dxa" w:w="1234"/>
          </w:tcPr>
          <w:p>
            <w:r>
              <w:rPr>
                <w:rFonts w:ascii="Calibri" w:hAnsi="Calibri"/>
                <w:sz w:val="22"/>
              </w:rPr>
              <w:t>No explicit Q2 guidance; mgmt targets sustained underwriting excellence</w:t>
            </w:r>
          </w:p>
        </w:tc>
        <w:tc>
          <w:tcPr>
            <w:tcW w:type="dxa" w:w="1234"/>
          </w:tcPr>
          <w:p>
            <w:r>
              <w:rPr>
                <w:rFonts w:ascii="Calibri" w:hAnsi="Calibri"/>
                <w:sz w:val="22"/>
              </w:rPr>
              <w:t>N/A (no Q2 point guidance)</w:t>
            </w:r>
          </w:p>
        </w:tc>
      </w:tr>
      <w:tr>
        <w:tc>
          <w:tcPr>
            <w:tcW w:type="dxa" w:w="1234"/>
          </w:tcPr>
          <w:p>
            <w:r>
              <w:rPr>
                <w:rFonts w:ascii="Calibri" w:hAnsi="Calibri"/>
                <w:sz w:val="22"/>
              </w:rPr>
              <w:t>Core Operating ROE (excl. AOCI &amp; DTA, %)</w:t>
            </w:r>
          </w:p>
        </w:tc>
        <w:tc>
          <w:tcPr>
            <w:tcW w:type="dxa" w:w="1234"/>
          </w:tcPr>
          <w:p>
            <w:r>
              <w:rPr>
                <w:rFonts w:ascii="Calibri" w:hAnsi="Calibri"/>
                <w:sz w:val="22"/>
              </w:rPr>
              <w:t>10.9%</w:t>
            </w:r>
          </w:p>
        </w:tc>
        <w:tc>
          <w:tcPr>
            <w:tcW w:type="dxa" w:w="1234"/>
          </w:tcPr>
          <w:p>
            <w:r>
              <w:rPr>
                <w:rFonts w:ascii="Calibri" w:hAnsi="Calibri"/>
                <w:sz w:val="22"/>
              </w:rPr>
              <w:t>9.7%</w:t>
            </w:r>
          </w:p>
        </w:tc>
        <w:tc>
          <w:tcPr>
            <w:tcW w:type="dxa" w:w="1234"/>
          </w:tcPr>
          <w:p>
            <w:r>
              <w:rPr>
                <w:rFonts w:ascii="Calibri" w:hAnsi="Calibri"/>
                <w:sz w:val="22"/>
              </w:rPr>
              <w:t>9.7%</w:t>
            </w:r>
          </w:p>
        </w:tc>
        <w:tc>
          <w:tcPr>
            <w:tcW w:type="dxa" w:w="1234"/>
          </w:tcPr>
          <w:p>
            <w:r>
              <w:rPr>
                <w:rFonts w:ascii="Calibri" w:hAnsi="Calibri"/>
                <w:sz w:val="22"/>
              </w:rPr>
              <w:t>Flat YoY</w:t>
            </w:r>
          </w:p>
        </w:tc>
        <w:tc>
          <w:tcPr>
            <w:tcW w:type="dxa" w:w="1234"/>
          </w:tcPr>
          <w:p>
            <w:r>
              <w:rPr>
                <w:rFonts w:ascii="Calibri" w:hAnsi="Calibri"/>
                <w:sz w:val="22"/>
              </w:rPr>
              <w:t>Investor Day target: 10–13% through 2027</w:t>
            </w:r>
          </w:p>
        </w:tc>
        <w:tc>
          <w:tcPr>
            <w:tcW w:type="dxa" w:w="1234"/>
          </w:tcPr>
          <w:p>
            <w:r>
              <w:rPr>
                <w:rFonts w:ascii="Calibri" w:hAnsi="Calibri"/>
                <w:sz w:val="22"/>
              </w:rPr>
              <w:t>Consensus slightly below target range midpoint</w:t>
            </w:r>
          </w:p>
        </w:tc>
      </w:tr>
    </w:tbl>
    <w:p>
      <w:r>
        <w:rPr>
          <w:rFonts w:ascii="Calibri" w:hAnsi="Calibri"/>
          <w:i/>
          <w:color w:val="525866"/>
          <w:sz w:val="22"/>
        </w:rPr>
        <w:t>Source: Visible Alpha Consensus and Actuals Data. Q2 2026 consensus as of August 5, 2026. Q1 2026 actuals reported April 30, 2026. Q2 2025 actuals reported July 2025. YoY change for combined ratio shown as point improvement (lower = better). NPW YoY reflects Everest quota share and reinsurance program changes.</w:t>
      </w:r>
    </w:p>
    <w:p>
      <w:pPr>
        <w:pStyle w:val="Heading3"/>
      </w:pPr>
      <w:r>
        <w:rPr>
          <w:rFonts w:ascii="Calibri" w:hAnsi="Calibri"/>
          <w:b/>
          <w:color w:val="3B4259"/>
          <w:sz w:val="24"/>
        </w:rPr>
        <w:t>Table 2 — Beat/Miss History (Last 8 Quarters, Top 2 KPIs)</w:t>
      </w:r>
    </w:p>
    <w:p>
      <w:r>
        <w:rPr>
          <w:rFonts w:ascii="Calibri" w:hAnsi="Calibri"/>
          <w:b/>
          <w:color w:val="525866"/>
          <w:sz w:val="22"/>
        </w:rPr>
        <w:t>KPI 1: Adjusted Operating EPS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$2.11</w:t>
            </w:r>
          </w:p>
        </w:tc>
        <w:tc>
          <w:tcPr>
            <w:tcW w:type="dxa" w:w="1728"/>
          </w:tcPr>
          <w:p>
            <w:r>
              <w:rPr>
                <w:rFonts w:ascii="Calibri" w:hAnsi="Calibri"/>
                <w:sz w:val="22"/>
              </w:rPr>
              <w:t>$1.88</w:t>
            </w:r>
          </w:p>
        </w:tc>
        <w:tc>
          <w:tcPr>
            <w:tcW w:type="dxa" w:w="1728"/>
          </w:tcPr>
          <w:p>
            <w:r>
              <w:rPr>
                <w:rFonts w:ascii="Calibri" w:hAnsi="Calibri"/>
                <w:b/>
                <w:color w:val="30A46C"/>
                <w:sz w:val="22"/>
              </w:rPr>
              <w:t>+12.2%</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$1.96</w:t>
            </w:r>
          </w:p>
        </w:tc>
        <w:tc>
          <w:tcPr>
            <w:tcW w:type="dxa" w:w="1728"/>
          </w:tcPr>
          <w:p>
            <w:r>
              <w:rPr>
                <w:rFonts w:ascii="Calibri" w:hAnsi="Calibri"/>
                <w:sz w:val="22"/>
              </w:rPr>
              <w:t>$1.90</w:t>
            </w:r>
          </w:p>
        </w:tc>
        <w:tc>
          <w:tcPr>
            <w:tcW w:type="dxa" w:w="1728"/>
          </w:tcPr>
          <w:p>
            <w:r>
              <w:rPr>
                <w:rFonts w:ascii="Calibri" w:hAnsi="Calibri"/>
                <w:b/>
                <w:color w:val="30A46C"/>
                <w:sz w:val="22"/>
              </w:rPr>
              <w:t>+3.2%</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$2.20</w:t>
            </w:r>
          </w:p>
        </w:tc>
        <w:tc>
          <w:tcPr>
            <w:tcW w:type="dxa" w:w="1728"/>
          </w:tcPr>
          <w:p>
            <w:r>
              <w:rPr>
                <w:rFonts w:ascii="Calibri" w:hAnsi="Calibri"/>
                <w:sz w:val="22"/>
              </w:rPr>
              <w:t>$1.73</w:t>
            </w:r>
          </w:p>
        </w:tc>
        <w:tc>
          <w:tcPr>
            <w:tcW w:type="dxa" w:w="1728"/>
          </w:tcPr>
          <w:p>
            <w:r>
              <w:rPr>
                <w:rFonts w:ascii="Calibri" w:hAnsi="Calibri"/>
                <w:b/>
                <w:color w:val="30A46C"/>
                <w:sz w:val="22"/>
              </w:rPr>
              <w:t>+27.2%</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$1.81</w:t>
            </w:r>
          </w:p>
        </w:tc>
        <w:tc>
          <w:tcPr>
            <w:tcW w:type="dxa" w:w="1728"/>
          </w:tcPr>
          <w:p>
            <w:r>
              <w:rPr>
                <w:rFonts w:ascii="Calibri" w:hAnsi="Calibri"/>
                <w:sz w:val="22"/>
              </w:rPr>
              <w:t>$1.59</w:t>
            </w:r>
          </w:p>
        </w:tc>
        <w:tc>
          <w:tcPr>
            <w:tcW w:type="dxa" w:w="1728"/>
          </w:tcPr>
          <w:p>
            <w:r>
              <w:rPr>
                <w:rFonts w:ascii="Calibri" w:hAnsi="Calibri"/>
                <w:b/>
                <w:color w:val="30A46C"/>
                <w:sz w:val="22"/>
              </w:rPr>
              <w:t>+13.8%</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$1.17</w:t>
            </w:r>
          </w:p>
        </w:tc>
        <w:tc>
          <w:tcPr>
            <w:tcW w:type="dxa" w:w="1728"/>
          </w:tcPr>
          <w:p>
            <w:r>
              <w:rPr>
                <w:rFonts w:ascii="Calibri" w:hAnsi="Calibri"/>
                <w:sz w:val="22"/>
              </w:rPr>
              <w:t>$0.98</w:t>
            </w:r>
          </w:p>
        </w:tc>
        <w:tc>
          <w:tcPr>
            <w:tcW w:type="dxa" w:w="1728"/>
          </w:tcPr>
          <w:p>
            <w:r>
              <w:rPr>
                <w:rFonts w:ascii="Calibri" w:hAnsi="Calibri"/>
                <w:b/>
                <w:color w:val="30A46C"/>
                <w:sz w:val="22"/>
              </w:rPr>
              <w:t>+19.4%</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$1.30</w:t>
            </w:r>
          </w:p>
        </w:tc>
        <w:tc>
          <w:tcPr>
            <w:tcW w:type="dxa" w:w="1728"/>
          </w:tcPr>
          <w:p>
            <w:r>
              <w:rPr>
                <w:rFonts w:ascii="Calibri" w:hAnsi="Calibri"/>
                <w:sz w:val="22"/>
              </w:rPr>
              <w:t>$1.23</w:t>
            </w:r>
          </w:p>
        </w:tc>
        <w:tc>
          <w:tcPr>
            <w:tcW w:type="dxa" w:w="1728"/>
          </w:tcPr>
          <w:p>
            <w:r>
              <w:rPr>
                <w:rFonts w:ascii="Calibri" w:hAnsi="Calibri"/>
                <w:b/>
                <w:color w:val="30A46C"/>
                <w:sz w:val="22"/>
              </w:rPr>
              <w:t>+5.7%</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$1.24</w:t>
            </w:r>
          </w:p>
        </w:tc>
        <w:tc>
          <w:tcPr>
            <w:tcW w:type="dxa" w:w="1728"/>
          </w:tcPr>
          <w:p>
            <w:r>
              <w:rPr>
                <w:rFonts w:ascii="Calibri" w:hAnsi="Calibri"/>
                <w:sz w:val="22"/>
              </w:rPr>
              <w:t>$1.10</w:t>
            </w:r>
          </w:p>
        </w:tc>
        <w:tc>
          <w:tcPr>
            <w:tcW w:type="dxa" w:w="1728"/>
          </w:tcPr>
          <w:p>
            <w:r>
              <w:rPr>
                <w:rFonts w:ascii="Calibri" w:hAnsi="Calibri"/>
                <w:b/>
                <w:color w:val="30A46C"/>
                <w:sz w:val="22"/>
              </w:rPr>
              <w:t>+12.7%</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$1.16</w:t>
            </w:r>
          </w:p>
        </w:tc>
        <w:tc>
          <w:tcPr>
            <w:tcW w:type="dxa" w:w="1728"/>
          </w:tcPr>
          <w:p>
            <w:r>
              <w:rPr>
                <w:rFonts w:ascii="Calibri" w:hAnsi="Calibri"/>
                <w:sz w:val="22"/>
              </w:rPr>
              <w:t>$1.32</w:t>
            </w:r>
          </w:p>
        </w:tc>
        <w:tc>
          <w:tcPr>
            <w:tcW w:type="dxa" w:w="1728"/>
          </w:tcPr>
          <w:p>
            <w:r>
              <w:rPr>
                <w:rFonts w:ascii="Calibri" w:hAnsi="Calibri"/>
                <w:b/>
                <w:color w:val="E5484D"/>
                <w:sz w:val="22"/>
              </w:rPr>
              <w:t>-12.1%</w:t>
            </w:r>
          </w:p>
        </w:tc>
        <w:tc>
          <w:tcPr>
            <w:tcW w:type="dxa" w:w="1728"/>
          </w:tcPr>
          <w:p>
            <w:r>
              <w:rPr>
                <w:rFonts w:ascii="Calibri" w:hAnsi="Calibri"/>
                <w:sz w:val="22"/>
              </w:rPr>
              <w:t>Miss</w:t>
            </w:r>
          </w:p>
        </w:tc>
      </w:tr>
    </w:tbl>
    <w:p>
      <w:r>
        <w:rPr>
          <w:rFonts w:ascii="Calibri" w:hAnsi="Calibri"/>
          <w:b/>
          <w:color w:val="525866"/>
          <w:sz w:val="22"/>
        </w:rPr>
        <w:t>KPI 2: Combined Ratio — General Insurance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(pts)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87.2%</w:t>
            </w:r>
          </w:p>
        </w:tc>
        <w:tc>
          <w:tcPr>
            <w:tcW w:type="dxa" w:w="1728"/>
          </w:tcPr>
          <w:p>
            <w:r>
              <w:rPr>
                <w:rFonts w:ascii="Calibri" w:hAnsi="Calibri"/>
                <w:sz w:val="22"/>
              </w:rPr>
              <w:t>90.8%</w:t>
            </w:r>
          </w:p>
        </w:tc>
        <w:tc>
          <w:tcPr>
            <w:tcW w:type="dxa" w:w="1728"/>
          </w:tcPr>
          <w:p>
            <w:r>
              <w:rPr>
                <w:rFonts w:ascii="Calibri" w:hAnsi="Calibri"/>
                <w:b/>
                <w:color w:val="30A46C"/>
                <w:sz w:val="22"/>
              </w:rPr>
              <w:t>-3.6 pts</w:t>
            </w:r>
          </w:p>
        </w:tc>
        <w:tc>
          <w:tcPr>
            <w:tcW w:type="dxa" w:w="1728"/>
          </w:tcPr>
          <w:p>
            <w:r>
              <w:rPr>
                <w:rFonts w:ascii="Calibri" w:hAnsi="Calibri"/>
                <w:sz w:val="22"/>
              </w:rPr>
              <w:t>Beat (lower = better)</w:t>
            </w:r>
          </w:p>
        </w:tc>
      </w:tr>
      <w:tr>
        <w:tc>
          <w:tcPr>
            <w:tcW w:type="dxa" w:w="1728"/>
          </w:tcPr>
          <w:p>
            <w:r>
              <w:rPr>
                <w:rFonts w:ascii="Calibri" w:hAnsi="Calibri"/>
                <w:sz w:val="22"/>
              </w:rPr>
              <w:t>Q4 2025</w:t>
            </w:r>
          </w:p>
        </w:tc>
        <w:tc>
          <w:tcPr>
            <w:tcW w:type="dxa" w:w="1728"/>
          </w:tcPr>
          <w:p>
            <w:r>
              <w:rPr>
                <w:rFonts w:ascii="Calibri" w:hAnsi="Calibri"/>
                <w:sz w:val="22"/>
              </w:rPr>
              <w:t>88.8%</w:t>
            </w:r>
          </w:p>
        </w:tc>
        <w:tc>
          <w:tcPr>
            <w:tcW w:type="dxa" w:w="1728"/>
          </w:tcPr>
          <w:p>
            <w:r>
              <w:rPr>
                <w:rFonts w:ascii="Calibri" w:hAnsi="Calibri"/>
                <w:sz w:val="22"/>
              </w:rPr>
              <w:t>89.9%</w:t>
            </w:r>
          </w:p>
        </w:tc>
        <w:tc>
          <w:tcPr>
            <w:tcW w:type="dxa" w:w="1728"/>
          </w:tcPr>
          <w:p>
            <w:r>
              <w:rPr>
                <w:rFonts w:ascii="Calibri" w:hAnsi="Calibri"/>
                <w:b/>
                <w:color w:val="30A46C"/>
                <w:sz w:val="22"/>
              </w:rPr>
              <w:t>-1.1 pts</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86.9%</w:t>
            </w:r>
          </w:p>
        </w:tc>
        <w:tc>
          <w:tcPr>
            <w:tcW w:type="dxa" w:w="1728"/>
          </w:tcPr>
          <w:p>
            <w:r>
              <w:rPr>
                <w:rFonts w:ascii="Calibri" w:hAnsi="Calibri"/>
                <w:sz w:val="22"/>
              </w:rPr>
              <w:t>91.0%</w:t>
            </w:r>
          </w:p>
        </w:tc>
        <w:tc>
          <w:tcPr>
            <w:tcW w:type="dxa" w:w="1728"/>
          </w:tcPr>
          <w:p>
            <w:r>
              <w:rPr>
                <w:rFonts w:ascii="Calibri" w:hAnsi="Calibri"/>
                <w:b/>
                <w:color w:val="30A46C"/>
                <w:sz w:val="22"/>
              </w:rPr>
              <w:t>-4.1 pts</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89.4%</w:t>
            </w:r>
          </w:p>
        </w:tc>
        <w:tc>
          <w:tcPr>
            <w:tcW w:type="dxa" w:w="1728"/>
          </w:tcPr>
          <w:p>
            <w:r>
              <w:rPr>
                <w:rFonts w:ascii="Calibri" w:hAnsi="Calibri"/>
                <w:sz w:val="22"/>
              </w:rPr>
              <w:t>90.5%</w:t>
            </w:r>
          </w:p>
        </w:tc>
        <w:tc>
          <w:tcPr>
            <w:tcW w:type="dxa" w:w="1728"/>
          </w:tcPr>
          <w:p>
            <w:r>
              <w:rPr>
                <w:rFonts w:ascii="Calibri" w:hAnsi="Calibri"/>
                <w:b/>
                <w:color w:val="30A46C"/>
                <w:sz w:val="22"/>
              </w:rPr>
              <w:t>-1.1 pts</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95.8%</w:t>
            </w:r>
          </w:p>
        </w:tc>
        <w:tc>
          <w:tcPr>
            <w:tcW w:type="dxa" w:w="1728"/>
          </w:tcPr>
          <w:p>
            <w:r>
              <w:rPr>
                <w:rFonts w:ascii="Calibri" w:hAnsi="Calibri"/>
                <w:sz w:val="22"/>
              </w:rPr>
              <w:t>98.1%</w:t>
            </w:r>
          </w:p>
        </w:tc>
        <w:tc>
          <w:tcPr>
            <w:tcW w:type="dxa" w:w="1728"/>
          </w:tcPr>
          <w:p>
            <w:r>
              <w:rPr>
                <w:rFonts w:ascii="Calibri" w:hAnsi="Calibri"/>
                <w:b/>
                <w:color w:val="30A46C"/>
                <w:sz w:val="22"/>
              </w:rPr>
              <w:t>-2.3 pts</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92.4%</w:t>
            </w:r>
          </w:p>
        </w:tc>
        <w:tc>
          <w:tcPr>
            <w:tcW w:type="dxa" w:w="1728"/>
          </w:tcPr>
          <w:p>
            <w:r>
              <w:rPr>
                <w:rFonts w:ascii="Calibri" w:hAnsi="Calibri"/>
                <w:sz w:val="22"/>
              </w:rPr>
              <w:t>93.3%</w:t>
            </w:r>
          </w:p>
        </w:tc>
        <w:tc>
          <w:tcPr>
            <w:tcW w:type="dxa" w:w="1728"/>
          </w:tcPr>
          <w:p>
            <w:r>
              <w:rPr>
                <w:rFonts w:ascii="Calibri" w:hAnsi="Calibri"/>
                <w:b/>
                <w:color w:val="30A46C"/>
                <w:sz w:val="22"/>
              </w:rPr>
              <w:t>-0.9 pts</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92.7%</w:t>
            </w:r>
          </w:p>
        </w:tc>
        <w:tc>
          <w:tcPr>
            <w:tcW w:type="dxa" w:w="1728"/>
          </w:tcPr>
          <w:p>
            <w:r>
              <w:rPr>
                <w:rFonts w:ascii="Calibri" w:hAnsi="Calibri"/>
                <w:sz w:val="22"/>
              </w:rPr>
              <w:t>94.5%</w:t>
            </w:r>
          </w:p>
        </w:tc>
        <w:tc>
          <w:tcPr>
            <w:tcW w:type="dxa" w:w="1728"/>
          </w:tcPr>
          <w:p>
            <w:r>
              <w:rPr>
                <w:rFonts w:ascii="Calibri" w:hAnsi="Calibri"/>
                <w:b/>
                <w:color w:val="30A46C"/>
                <w:sz w:val="22"/>
              </w:rPr>
              <w:t>-1.8 pts</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92.5%</w:t>
            </w:r>
          </w:p>
        </w:tc>
        <w:tc>
          <w:tcPr>
            <w:tcW w:type="dxa" w:w="1728"/>
          </w:tcPr>
          <w:p>
            <w:r>
              <w:rPr>
                <w:rFonts w:ascii="Calibri" w:hAnsi="Calibri"/>
                <w:sz w:val="22"/>
              </w:rPr>
              <w:t>91.8%</w:t>
            </w:r>
          </w:p>
        </w:tc>
        <w:tc>
          <w:tcPr>
            <w:tcW w:type="dxa" w:w="1728"/>
          </w:tcPr>
          <w:p>
            <w:r>
              <w:rPr>
                <w:rFonts w:ascii="Calibri" w:hAnsi="Calibri"/>
                <w:b/>
                <w:color w:val="E5484D"/>
                <w:sz w:val="22"/>
              </w:rPr>
              <w:t>+0.7 pts</w:t>
            </w:r>
          </w:p>
        </w:tc>
        <w:tc>
          <w:tcPr>
            <w:tcW w:type="dxa" w:w="1728"/>
          </w:tcPr>
          <w:p>
            <w:r>
              <w:rPr>
                <w:rFonts w:ascii="Calibri" w:hAnsi="Calibri"/>
                <w:sz w:val="22"/>
              </w:rPr>
              <w:t>Miss</w:t>
            </w:r>
          </w:p>
        </w:tc>
      </w:tr>
    </w:tbl>
    <w:p>
      <w:r>
        <w:rPr>
          <w:rFonts w:ascii="Calibri" w:hAnsi="Calibri"/>
          <w:b/>
          <w:color w:val="525866"/>
          <w:sz w:val="22"/>
        </w:rPr>
        <w:t xml:space="preserve">Pattern: </w:t>
      </w:r>
      <w:r>
        <w:rPr>
          <w:rFonts w:ascii="Calibri" w:hAnsi="Calibri"/>
          <w:i/>
          <w:color w:val="525866"/>
          <w:sz w:val="22"/>
        </w:rPr>
        <w:t>AIG has beaten on both EPS and combined ratio in 7 of the last 8 quarters, with the sole miss in Q2 2024 on both metrics — the consistent pattern of underwriting outperformance vs. consensus suggests the Street continues to set a conservative bar, and the Q2 2026 consensus of 90.2% combined ratio leaves meaningful room to beat given the recent run of sub-89% prints.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Management’s posture has been unchanged and highly confident since the Q1 2026 earnings call — </w:t>
      </w:r>
      <w:r>
        <w:rPr>
          <w:rFonts w:ascii="Calibri" w:hAnsi="Calibri"/>
          <w:b/>
          <w:color w:val="525866"/>
          <w:sz w:val="22"/>
        </w:rPr>
        <w:t>no guidance revisions have been issued</w:t>
      </w:r>
      <w:r>
        <w:rPr>
          <w:rFonts w:ascii="Calibri" w:hAnsi="Calibri"/>
          <w:color w:val="525866"/>
          <w:sz w:val="22"/>
        </w:rPr>
        <w:t>, new CEO Eric Andersen has explicitly reaffirmed all Investor Day targets, and the only forward-looking caveat is the guided alternative investment headwind in Q2 (already in consensus).</w:t>
      </w:r>
    </w:p>
    <w:p>
      <w:r>
        <w:rPr>
          <w:rFonts w:ascii="Calibri" w:hAnsi="Calibri"/>
          <w:i/>
          <w:color w:val="525866"/>
          <w:sz w:val="22"/>
        </w:rPr>
        <w:t>Baseline: Q1 2026 Earnings Call (May 1, 2026). No post-earnings guidance revisions have been issued via 8-K, investor conference, or pre-announcement.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1,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Operating EPS (FY 2026)</w:t>
            </w:r>
          </w:p>
        </w:tc>
        <w:tc>
          <w:tcPr>
            <w:tcW w:type="dxa" w:w="1728"/>
          </w:tcPr>
          <w:p>
            <w:r>
              <w:rPr>
                <w:rFonts w:ascii="Calibri" w:hAnsi="Calibri"/>
                <w:sz w:val="22"/>
              </w:rPr>
              <w:t>&gt;20% CAGR over 3 years ending 2027 (Investor Day target reaffirmed)</w:t>
            </w:r>
          </w:p>
        </w:tc>
        <w:tc>
          <w:tcPr>
            <w:tcW w:type="dxa" w:w="1728"/>
          </w:tcPr>
          <w:p>
            <w:r>
              <w:rPr>
                <w:rFonts w:ascii="Calibri" w:hAnsi="Calibri"/>
                <w:sz w:val="22"/>
              </w:rPr>
              <w:t>—</w:t>
            </w:r>
          </w:p>
        </w:tc>
        <w:tc>
          <w:tcPr>
            <w:tcW w:type="dxa" w:w="1728"/>
          </w:tcPr>
          <w:p>
            <w:r>
              <w:rPr>
                <w:rFonts w:ascii="Calibri" w:hAnsi="Calibri"/>
                <w:sz w:val="22"/>
              </w:rPr>
              <w:t>$7.98 (FY 2026 consensus)</w:t>
            </w:r>
          </w:p>
        </w:tc>
        <w:tc>
          <w:tcPr>
            <w:tcW w:type="dxa" w:w="1728"/>
          </w:tcPr>
          <w:p>
            <w:r>
              <w:rPr>
                <w:rFonts w:ascii="Calibri" w:hAnsi="Calibri"/>
                <w:sz w:val="22"/>
              </w:rPr>
              <w:t>No change; Eric Andersen reaffirmed Investor Day targets on May 1 call</w:t>
            </w:r>
          </w:p>
        </w:tc>
      </w:tr>
      <w:tr>
        <w:tc>
          <w:tcPr>
            <w:tcW w:type="dxa" w:w="1728"/>
          </w:tcPr>
          <w:p>
            <w:r>
              <w:rPr>
                <w:rFonts w:ascii="Calibri" w:hAnsi="Calibri"/>
                <w:sz w:val="22"/>
              </w:rPr>
              <w:t>Q2 2026 Alt. Investment Returns</w:t>
            </w:r>
          </w:p>
        </w:tc>
        <w:tc>
          <w:tcPr>
            <w:tcW w:type="dxa" w:w="1728"/>
          </w:tcPr>
          <w:p>
            <w:r>
              <w:rPr>
                <w:rFonts w:ascii="Calibri" w:hAnsi="Calibri"/>
                <w:sz w:val="22"/>
              </w:rPr>
              <w:t>Expected to remain below long-term target due to Q1 public market volatility</w:t>
            </w:r>
          </w:p>
        </w:tc>
        <w:tc>
          <w:tcPr>
            <w:tcW w:type="dxa" w:w="1728"/>
          </w:tcPr>
          <w:p>
            <w:r>
              <w:rPr>
                <w:rFonts w:ascii="Calibri" w:hAnsi="Calibri"/>
                <w:sz w:val="22"/>
              </w:rPr>
              <w:t>—</w:t>
            </w:r>
          </w:p>
        </w:tc>
        <w:tc>
          <w:tcPr>
            <w:tcW w:type="dxa" w:w="1728"/>
          </w:tcPr>
          <w:p>
            <w:r>
              <w:rPr>
                <w:rFonts w:ascii="Calibri" w:hAnsi="Calibri"/>
                <w:sz w:val="22"/>
              </w:rPr>
              <w:t>Embedded in NII consensus of $917M</w:t>
            </w:r>
          </w:p>
        </w:tc>
        <w:tc>
          <w:tcPr>
            <w:tcW w:type="dxa" w:w="1728"/>
          </w:tcPr>
          <w:p>
            <w:r>
              <w:rPr>
                <w:rFonts w:ascii="Calibri" w:hAnsi="Calibri"/>
                <w:sz w:val="22"/>
              </w:rPr>
              <w:t>Explicit Q2 headwind flagged by CFO Keith Walsh on May 1 call; no change since</w:t>
            </w:r>
          </w:p>
        </w:tc>
      </w:tr>
      <w:tr>
        <w:tc>
          <w:tcPr>
            <w:tcW w:type="dxa" w:w="1728"/>
          </w:tcPr>
          <w:p>
            <w:r>
              <w:rPr>
                <w:rFonts w:ascii="Calibri" w:hAnsi="Calibri"/>
                <w:sz w:val="22"/>
              </w:rPr>
              <w:t>Other Operations NII (Q2 2026)</w:t>
            </w:r>
          </w:p>
        </w:tc>
        <w:tc>
          <w:tcPr>
            <w:tcW w:type="dxa" w:w="1728"/>
          </w:tcPr>
          <w:p>
            <w:r>
              <w:rPr>
                <w:rFonts w:ascii="Calibri" w:hAnsi="Calibri"/>
                <w:sz w:val="22"/>
              </w:rPr>
              <w:t>$30–40M range (subject to market conditions)</w:t>
            </w:r>
          </w:p>
        </w:tc>
        <w:tc>
          <w:tcPr>
            <w:tcW w:type="dxa" w:w="1728"/>
          </w:tcPr>
          <w:p>
            <w:r>
              <w:rPr>
                <w:rFonts w:ascii="Calibri" w:hAnsi="Calibri"/>
                <w:sz w:val="22"/>
              </w:rPr>
              <w:t>—</w:t>
            </w:r>
          </w:p>
        </w:tc>
        <w:tc>
          <w:tcPr>
            <w:tcW w:type="dxa" w:w="1728"/>
          </w:tcPr>
          <w:p>
            <w:r>
              <w:rPr>
                <w:rFonts w:ascii="Calibri" w:hAnsi="Calibri"/>
                <w:sz w:val="22"/>
              </w:rPr>
              <w:t>Embedded in total NII consensus</w:t>
            </w:r>
          </w:p>
        </w:tc>
        <w:tc>
          <w:tcPr>
            <w:tcW w:type="dxa" w:w="1728"/>
          </w:tcPr>
          <w:p>
            <w:r>
              <w:rPr>
                <w:rFonts w:ascii="Calibri" w:hAnsi="Calibri"/>
                <w:sz w:val="22"/>
              </w:rPr>
              <w:t>Specific Q2 guidance from CFO; no revision</w:t>
            </w:r>
          </w:p>
        </w:tc>
      </w:tr>
      <w:tr>
        <w:tc>
          <w:tcPr>
            <w:tcW w:type="dxa" w:w="1728"/>
          </w:tcPr>
          <w:p>
            <w:r>
              <w:rPr>
                <w:rFonts w:ascii="Calibri" w:hAnsi="Calibri"/>
                <w:sz w:val="22"/>
              </w:rPr>
              <w:t>NPW Growth — General Insurance (FY 2026)</w:t>
            </w:r>
          </w:p>
        </w:tc>
        <w:tc>
          <w:tcPr>
            <w:tcW w:type="dxa" w:w="1728"/>
          </w:tcPr>
          <w:p>
            <w:r>
              <w:rPr>
                <w:rFonts w:ascii="Calibri" w:hAnsi="Calibri"/>
                <w:sz w:val="22"/>
              </w:rPr>
              <w:t>Low to mid-teens growth</w:t>
            </w:r>
          </w:p>
        </w:tc>
        <w:tc>
          <w:tcPr>
            <w:tcW w:type="dxa" w:w="1728"/>
          </w:tcPr>
          <w:p>
            <w:r>
              <w:rPr>
                <w:rFonts w:ascii="Calibri" w:hAnsi="Calibri"/>
                <w:sz w:val="22"/>
              </w:rPr>
              <w:t>—</w:t>
            </w:r>
          </w:p>
        </w:tc>
        <w:tc>
          <w:tcPr>
            <w:tcW w:type="dxa" w:w="1728"/>
          </w:tcPr>
          <w:p>
            <w:r>
              <w:rPr>
                <w:rFonts w:ascii="Calibri" w:hAnsi="Calibri"/>
                <w:sz w:val="22"/>
              </w:rPr>
              <w:t>$26.8B FY 2026 consensus (+~10% YoY)</w:t>
            </w:r>
          </w:p>
        </w:tc>
        <w:tc>
          <w:tcPr>
            <w:tcW w:type="dxa" w:w="1728"/>
          </w:tcPr>
          <w:p>
            <w:r>
              <w:rPr>
                <w:rFonts w:ascii="Calibri" w:hAnsi="Calibri"/>
                <w:sz w:val="22"/>
              </w:rPr>
              <w:t>Consensus slightly below guidance midpoint; Lexington large account contraction is a drag</w:t>
            </w:r>
          </w:p>
        </w:tc>
      </w:tr>
      <w:tr>
        <w:tc>
          <w:tcPr>
            <w:tcW w:type="dxa" w:w="1728"/>
          </w:tcPr>
          <w:p>
            <w:r>
              <w:rPr>
                <w:rFonts w:ascii="Calibri" w:hAnsi="Calibri"/>
                <w:sz w:val="22"/>
              </w:rPr>
              <w:t>Core Operating ROE (FY 2026–2027)</w:t>
            </w:r>
          </w:p>
        </w:tc>
        <w:tc>
          <w:tcPr>
            <w:tcW w:type="dxa" w:w="1728"/>
          </w:tcPr>
          <w:p>
            <w:r>
              <w:rPr>
                <w:rFonts w:ascii="Calibri" w:hAnsi="Calibri"/>
                <w:sz w:val="22"/>
              </w:rPr>
              <w:t>10–13% through 2027 (Investor Day target)</w:t>
            </w:r>
          </w:p>
        </w:tc>
        <w:tc>
          <w:tcPr>
            <w:tcW w:type="dxa" w:w="1728"/>
          </w:tcPr>
          <w:p>
            <w:r>
              <w:rPr>
                <w:rFonts w:ascii="Calibri" w:hAnsi="Calibri"/>
                <w:sz w:val="22"/>
              </w:rPr>
              <w:t>—</w:t>
            </w:r>
          </w:p>
        </w:tc>
        <w:tc>
          <w:tcPr>
            <w:tcW w:type="dxa" w:w="1728"/>
          </w:tcPr>
          <w:p>
            <w:r>
              <w:rPr>
                <w:rFonts w:ascii="Calibri" w:hAnsi="Calibri"/>
                <w:sz w:val="22"/>
              </w:rPr>
              <w:t>~10.1% FY 2026 consensus</w:t>
            </w:r>
          </w:p>
        </w:tc>
        <w:tc>
          <w:tcPr>
            <w:tcW w:type="dxa" w:w="1728"/>
          </w:tcPr>
          <w:p>
            <w:r>
              <w:rPr>
                <w:rFonts w:ascii="Calibri" w:hAnsi="Calibri"/>
                <w:sz w:val="22"/>
              </w:rPr>
              <w:t>Consensus at low end of target range; upside if underwriting continues to outperform</w:t>
            </w:r>
          </w:p>
        </w:tc>
      </w:tr>
      <w:tr>
        <w:tc>
          <w:tcPr>
            <w:tcW w:type="dxa" w:w="1728"/>
          </w:tcPr>
          <w:p>
            <w:r>
              <w:rPr>
                <w:rFonts w:ascii="Calibri" w:hAnsi="Calibri"/>
                <w:sz w:val="22"/>
              </w:rPr>
              <w:t>General Insurance Expense Ratio (2027 target)</w:t>
            </w:r>
          </w:p>
        </w:tc>
        <w:tc>
          <w:tcPr>
            <w:tcW w:type="dxa" w:w="1728"/>
          </w:tcPr>
          <w:p>
            <w:r>
              <w:rPr>
                <w:rFonts w:ascii="Calibri" w:hAnsi="Calibri"/>
                <w:sz w:val="22"/>
              </w:rPr>
              <w:t>&lt;30% by 2027 (Investor Day target reaffirmed)</w:t>
            </w:r>
          </w:p>
        </w:tc>
        <w:tc>
          <w:tcPr>
            <w:tcW w:type="dxa" w:w="1728"/>
          </w:tcPr>
          <w:p>
            <w:r>
              <w:rPr>
                <w:rFonts w:ascii="Calibri" w:hAnsi="Calibri"/>
                <w:sz w:val="22"/>
              </w:rPr>
              <w:t>—</w:t>
            </w:r>
          </w:p>
        </w:tc>
        <w:tc>
          <w:tcPr>
            <w:tcW w:type="dxa" w:w="1728"/>
          </w:tcPr>
          <w:p>
            <w:r>
              <w:rPr>
                <w:rFonts w:ascii="Calibri" w:hAnsi="Calibri"/>
                <w:sz w:val="22"/>
              </w:rPr>
              <w:t>N/A — not tracked separately in VA consensus</w:t>
            </w:r>
          </w:p>
        </w:tc>
        <w:tc>
          <w:tcPr>
            <w:tcW w:type="dxa" w:w="1728"/>
          </w:tcPr>
          <w:p>
            <w:r>
              <w:rPr>
                <w:rFonts w:ascii="Calibri" w:hAnsi="Calibri"/>
                <w:sz w:val="22"/>
              </w:rPr>
              <w:t>Management “getting after expenses” on nominal basis; on track per Q1 call</w:t>
            </w:r>
          </w:p>
        </w:tc>
      </w:tr>
      <w:tr>
        <w:tc>
          <w:tcPr>
            <w:tcW w:type="dxa" w:w="1728"/>
          </w:tcPr>
          <w:p>
            <w:r>
              <w:rPr>
                <w:rFonts w:ascii="Calibri" w:hAnsi="Calibri"/>
                <w:sz w:val="22"/>
              </w:rPr>
              <w:t>Quarterly Dividend (Q2 2026 onward)</w:t>
            </w:r>
          </w:p>
        </w:tc>
        <w:tc>
          <w:tcPr>
            <w:tcW w:type="dxa" w:w="1728"/>
          </w:tcPr>
          <w:p>
            <w:r>
              <w:rPr>
                <w:rFonts w:ascii="Calibri" w:hAnsi="Calibri"/>
                <w:sz w:val="22"/>
              </w:rPr>
              <w:t>$0.50/share (11% increase, approved by Board)</w:t>
            </w:r>
          </w:p>
        </w:tc>
        <w:tc>
          <w:tcPr>
            <w:tcW w:type="dxa" w:w="1728"/>
          </w:tcPr>
          <w:p>
            <w:r>
              <w:rPr>
                <w:rFonts w:ascii="Calibri" w:hAnsi="Calibri"/>
                <w:sz w:val="22"/>
              </w:rPr>
              <w:t>—</w:t>
            </w:r>
          </w:p>
        </w:tc>
        <w:tc>
          <w:tcPr>
            <w:tcW w:type="dxa" w:w="1728"/>
          </w:tcPr>
          <w:p>
            <w:r>
              <w:rPr>
                <w:rFonts w:ascii="Calibri" w:hAnsi="Calibri"/>
                <w:sz w:val="22"/>
              </w:rPr>
              <w:t>$0.50/share</w:t>
            </w:r>
          </w:p>
        </w:tc>
        <w:tc>
          <w:tcPr>
            <w:tcW w:type="dxa" w:w="1728"/>
          </w:tcPr>
          <w:p>
            <w:r>
              <w:rPr>
                <w:rFonts w:ascii="Calibri" w:hAnsi="Calibri"/>
                <w:sz w:val="22"/>
              </w:rPr>
              <w:t>Confirmed; fourth consecutive annual dividend increase</w:t>
            </w:r>
          </w:p>
        </w:tc>
      </w:tr>
      <w:tr>
        <w:tc>
          <w:tcPr>
            <w:tcW w:type="dxa" w:w="1728"/>
          </w:tcPr>
          <w:p>
            <w:r>
              <w:rPr>
                <w:rFonts w:ascii="Calibri" w:hAnsi="Calibri"/>
                <w:sz w:val="22"/>
              </w:rPr>
              <w:t>Corebridge Exit &amp; Share Repurchases</w:t>
            </w:r>
          </w:p>
        </w:tc>
        <w:tc>
          <w:tcPr>
            <w:tcW w:type="dxa" w:w="1728"/>
          </w:tcPr>
          <w:p>
            <w:r>
              <w:rPr>
                <w:rFonts w:ascii="Calibri" w:hAnsi="Calibri"/>
                <w:sz w:val="22"/>
              </w:rPr>
              <w:t>Full exit of ~5.6% stake in 2026; proceeds primarily for buybacks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Subject to market conditions; no update since Q1 call</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broadly stable-to-slightly-positive since the Q1 2026 print — </w:t>
      </w:r>
      <w:r>
        <w:rPr>
          <w:rFonts w:ascii="Calibri" w:hAnsi="Calibri"/>
          <w:b/>
          <w:color w:val="525866"/>
          <w:sz w:val="22"/>
        </w:rPr>
        <w:t>the EPS baseline has drifted modestly lower for Q2 but FY 2026 is essentially flat</w:t>
      </w:r>
      <w:r>
        <w:rPr>
          <w:rFonts w:ascii="Calibri" w:hAnsi="Calibri"/>
          <w:color w:val="525866"/>
          <w:sz w:val="22"/>
        </w:rPr>
        <w:t>, suggesting the Street has absorbed the guided alt-investment headwind without broader estimate cuts; the gap between consensus and guidance on NPW growth is the one area where consensus may be too conservative.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6, 2026)</w:t>
            </w:r>
          </w:p>
        </w:tc>
        <w:tc>
          <w:tcPr>
            <w:tcW w:type="dxa" w:w="1080"/>
            <w:shd w:val="clear" w:color="auto" w:fill="3B4259"/>
          </w:tcPr>
          <w:p>
            <w:r>
              <w:rPr>
                <w:rFonts w:ascii="Calibri" w:hAnsi="Calibri"/>
                <w:b/>
                <w:color w:val="FFFFFF"/>
                <w:sz w:val="22"/>
              </w:rPr>
              <w:t>Current Consensus (Aug 5,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Adj. Operating EPS — Q2 2026</w:t>
            </w:r>
          </w:p>
        </w:tc>
        <w:tc>
          <w:tcPr>
            <w:tcW w:type="dxa" w:w="1080"/>
          </w:tcPr>
          <w:p>
            <w:r>
              <w:rPr>
                <w:rFonts w:ascii="Calibri" w:hAnsi="Calibri"/>
                <w:sz w:val="22"/>
              </w:rPr>
              <w:t>$1.92</w:t>
            </w:r>
          </w:p>
        </w:tc>
        <w:tc>
          <w:tcPr>
            <w:tcW w:type="dxa" w:w="1080"/>
          </w:tcPr>
          <w:p>
            <w:r>
              <w:rPr>
                <w:rFonts w:ascii="Calibri" w:hAnsi="Calibri"/>
                <w:sz w:val="22"/>
              </w:rPr>
              <w:t>$1.90</w:t>
            </w:r>
          </w:p>
        </w:tc>
        <w:tc>
          <w:tcPr>
            <w:tcW w:type="dxa" w:w="1080"/>
          </w:tcPr>
          <w:p>
            <w:r>
              <w:rPr>
                <w:rFonts w:ascii="Calibri" w:hAnsi="Calibri"/>
                <w:sz w:val="22"/>
              </w:rPr>
              <w:t>-1.0%</w:t>
            </w:r>
          </w:p>
        </w:tc>
        <w:tc>
          <w:tcPr>
            <w:tcW w:type="dxa" w:w="1080"/>
          </w:tcPr>
          <w:p>
            <w:r>
              <w:rPr>
                <w:rFonts w:ascii="Calibri" w:hAnsi="Calibri"/>
                <w:sz w:val="22"/>
              </w:rPr>
              <w:t>No Q2 point guidance</w:t>
            </w:r>
          </w:p>
        </w:tc>
        <w:tc>
          <w:tcPr>
            <w:tcW w:type="dxa" w:w="1080"/>
          </w:tcPr>
          <w:p>
            <w:r>
              <w:rPr>
                <w:rFonts w:ascii="Calibri" w:hAnsi="Calibri"/>
                <w:sz w:val="22"/>
              </w:rPr>
              <w:t>No Q2 point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Operating EPS — FY 2026</w:t>
            </w:r>
          </w:p>
        </w:tc>
        <w:tc>
          <w:tcPr>
            <w:tcW w:type="dxa" w:w="1080"/>
          </w:tcPr>
          <w:p>
            <w:r>
              <w:rPr>
                <w:rFonts w:ascii="Calibri" w:hAnsi="Calibri"/>
                <w:sz w:val="22"/>
              </w:rPr>
              <w:t>$8.01</w:t>
            </w:r>
          </w:p>
        </w:tc>
        <w:tc>
          <w:tcPr>
            <w:tcW w:type="dxa" w:w="1080"/>
          </w:tcPr>
          <w:p>
            <w:r>
              <w:rPr>
                <w:rFonts w:ascii="Calibri" w:hAnsi="Calibri"/>
                <w:sz w:val="22"/>
              </w:rPr>
              <w:t>$7.98</w:t>
            </w:r>
          </w:p>
        </w:tc>
        <w:tc>
          <w:tcPr>
            <w:tcW w:type="dxa" w:w="1080"/>
          </w:tcPr>
          <w:p>
            <w:r>
              <w:rPr>
                <w:rFonts w:ascii="Calibri" w:hAnsi="Calibri"/>
                <w:sz w:val="22"/>
              </w:rPr>
              <w:t>-0.4%</w:t>
            </w:r>
          </w:p>
        </w:tc>
        <w:tc>
          <w:tcPr>
            <w:tcW w:type="dxa" w:w="1080"/>
          </w:tcPr>
          <w:p>
            <w:r>
              <w:rPr>
                <w:rFonts w:ascii="Calibri" w:hAnsi="Calibri"/>
                <w:sz w:val="22"/>
              </w:rPr>
              <w:t>&gt;20% CAGR (3-yr Investor Day target)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trajectory</w:t>
            </w:r>
          </w:p>
        </w:tc>
      </w:tr>
      <w:tr>
        <w:tc>
          <w:tcPr>
            <w:tcW w:type="dxa" w:w="1080"/>
          </w:tcPr>
          <w:p>
            <w:r>
              <w:rPr>
                <w:rFonts w:ascii="Calibri" w:hAnsi="Calibri"/>
                <w:sz w:val="22"/>
              </w:rPr>
              <w:t>Combined Ratio — GI (%) — Q2 2026</w:t>
            </w:r>
          </w:p>
        </w:tc>
        <w:tc>
          <w:tcPr>
            <w:tcW w:type="dxa" w:w="1080"/>
          </w:tcPr>
          <w:p>
            <w:r>
              <w:rPr>
                <w:rFonts w:ascii="Calibri" w:hAnsi="Calibri"/>
                <w:sz w:val="22"/>
              </w:rPr>
              <w:t>90.5%</w:t>
            </w:r>
          </w:p>
        </w:tc>
        <w:tc>
          <w:tcPr>
            <w:tcW w:type="dxa" w:w="1080"/>
          </w:tcPr>
          <w:p>
            <w:r>
              <w:rPr>
                <w:rFonts w:ascii="Calibri" w:hAnsi="Calibri"/>
                <w:sz w:val="22"/>
              </w:rPr>
              <w:t>90.2%</w:t>
            </w:r>
          </w:p>
        </w:tc>
        <w:tc>
          <w:tcPr>
            <w:tcW w:type="dxa" w:w="1080"/>
          </w:tcPr>
          <w:p>
            <w:r>
              <w:rPr>
                <w:rFonts w:ascii="Calibri" w:hAnsi="Calibri"/>
                <w:sz w:val="22"/>
              </w:rPr>
              <w:t>-0.3 pts (improvement)</w:t>
            </w:r>
          </w:p>
        </w:tc>
        <w:tc>
          <w:tcPr>
            <w:tcW w:type="dxa" w:w="1080"/>
          </w:tcPr>
          <w:p>
            <w:r>
              <w:rPr>
                <w:rFonts w:ascii="Calibri" w:hAnsi="Calibri"/>
                <w:sz w:val="22"/>
              </w:rPr>
              <w:t>No Q2 point guidance; potential property attritional deterioration flagged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implies modest improvement vs. Q1 call tone</w:t>
            </w:r>
          </w:p>
        </w:tc>
      </w:tr>
      <w:tr>
        <w:tc>
          <w:tcPr>
            <w:tcW w:type="dxa" w:w="1080"/>
          </w:tcPr>
          <w:p>
            <w:r>
              <w:rPr>
                <w:rFonts w:ascii="Calibri" w:hAnsi="Calibri"/>
                <w:sz w:val="22"/>
              </w:rPr>
              <w:t>Combined Ratio — GI (%) — FY 2026</w:t>
            </w:r>
          </w:p>
        </w:tc>
        <w:tc>
          <w:tcPr>
            <w:tcW w:type="dxa" w:w="1080"/>
          </w:tcPr>
          <w:p>
            <w:r>
              <w:rPr>
                <w:rFonts w:ascii="Calibri" w:hAnsi="Calibri"/>
                <w:sz w:val="22"/>
              </w:rPr>
              <w:t>90.3%</w:t>
            </w:r>
          </w:p>
        </w:tc>
        <w:tc>
          <w:tcPr>
            <w:tcW w:type="dxa" w:w="1080"/>
          </w:tcPr>
          <w:p>
            <w:r>
              <w:rPr>
                <w:rFonts w:ascii="Calibri" w:hAnsi="Calibri"/>
                <w:sz w:val="22"/>
              </w:rPr>
              <w:t>90.1%</w:t>
            </w:r>
          </w:p>
        </w:tc>
        <w:tc>
          <w:tcPr>
            <w:tcW w:type="dxa" w:w="1080"/>
          </w:tcPr>
          <w:p>
            <w:r>
              <w:rPr>
                <w:rFonts w:ascii="Calibri" w:hAnsi="Calibri"/>
                <w:sz w:val="22"/>
              </w:rPr>
              <w:t>-0.2 pts (improvement)</w:t>
            </w:r>
          </w:p>
        </w:tc>
        <w:tc>
          <w:tcPr>
            <w:tcW w:type="dxa" w:w="1080"/>
          </w:tcPr>
          <w:p>
            <w:r>
              <w:rPr>
                <w:rFonts w:ascii="Calibri" w:hAnsi="Calibri"/>
                <w:sz w:val="22"/>
              </w:rPr>
              <w:t>Sub-90% sustained (Investor Day)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slightly above Investor Day target; upside if cats benign</w:t>
            </w:r>
          </w:p>
        </w:tc>
      </w:tr>
      <w:tr>
        <w:tc>
          <w:tcPr>
            <w:tcW w:type="dxa" w:w="1080"/>
          </w:tcPr>
          <w:p>
            <w:r>
              <w:rPr>
                <w:rFonts w:ascii="Calibri" w:hAnsi="Calibri"/>
                <w:sz w:val="22"/>
              </w:rPr>
              <w:t>NPW — General Insurance — Q2 2026 ($B)</w:t>
            </w:r>
          </w:p>
        </w:tc>
        <w:tc>
          <w:tcPr>
            <w:tcW w:type="dxa" w:w="1080"/>
          </w:tcPr>
          <w:p>
            <w:r>
              <w:rPr>
                <w:rFonts w:ascii="Calibri" w:hAnsi="Calibri"/>
                <w:sz w:val="22"/>
              </w:rPr>
              <w:t>$7.74B</w:t>
            </w:r>
          </w:p>
        </w:tc>
        <w:tc>
          <w:tcPr>
            <w:tcW w:type="dxa" w:w="1080"/>
          </w:tcPr>
          <w:p>
            <w:r>
              <w:rPr>
                <w:rFonts w:ascii="Calibri" w:hAnsi="Calibri"/>
                <w:sz w:val="22"/>
              </w:rPr>
              <w:t>$7.61B</w:t>
            </w:r>
          </w:p>
        </w:tc>
        <w:tc>
          <w:tcPr>
            <w:tcW w:type="dxa" w:w="1080"/>
          </w:tcPr>
          <w:p>
            <w:r>
              <w:rPr>
                <w:rFonts w:ascii="Calibri" w:hAnsi="Calibri"/>
                <w:sz w:val="22"/>
              </w:rPr>
              <w:t>-1.7%</w:t>
            </w:r>
          </w:p>
        </w:tc>
        <w:tc>
          <w:tcPr>
            <w:tcW w:type="dxa" w:w="1080"/>
          </w:tcPr>
          <w:p>
            <w:r>
              <w:rPr>
                <w:rFonts w:ascii="Calibri" w:hAnsi="Calibri"/>
                <w:sz w:val="22"/>
              </w:rPr>
              <w:t>Low to mid-teens FY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below guidance midpoint; Lexington contraction drag</w:t>
            </w:r>
          </w:p>
        </w:tc>
      </w:tr>
      <w:tr>
        <w:tc>
          <w:tcPr>
            <w:tcW w:type="dxa" w:w="1080"/>
          </w:tcPr>
          <w:p>
            <w:r>
              <w:rPr>
                <w:rFonts w:ascii="Calibri" w:hAnsi="Calibri"/>
                <w:sz w:val="22"/>
              </w:rPr>
              <w:t>NPW — General Insurance — FY 2026 ($B)</w:t>
            </w:r>
          </w:p>
        </w:tc>
        <w:tc>
          <w:tcPr>
            <w:tcW w:type="dxa" w:w="1080"/>
          </w:tcPr>
          <w:p>
            <w:r>
              <w:rPr>
                <w:rFonts w:ascii="Calibri" w:hAnsi="Calibri"/>
                <w:sz w:val="22"/>
              </w:rPr>
              <w:t>$27.1B</w:t>
            </w:r>
          </w:p>
        </w:tc>
        <w:tc>
          <w:tcPr>
            <w:tcW w:type="dxa" w:w="1080"/>
          </w:tcPr>
          <w:p>
            <w:r>
              <w:rPr>
                <w:rFonts w:ascii="Calibri" w:hAnsi="Calibri"/>
                <w:sz w:val="22"/>
              </w:rPr>
              <w:t>$26.8B</w:t>
            </w:r>
          </w:p>
        </w:tc>
        <w:tc>
          <w:tcPr>
            <w:tcW w:type="dxa" w:w="1080"/>
          </w:tcPr>
          <w:p>
            <w:r>
              <w:rPr>
                <w:rFonts w:ascii="Calibri" w:hAnsi="Calibri"/>
                <w:sz w:val="22"/>
              </w:rPr>
              <w:t>-1.1%</w:t>
            </w:r>
          </w:p>
        </w:tc>
        <w:tc>
          <w:tcPr>
            <w:tcW w:type="dxa" w:w="1080"/>
          </w:tcPr>
          <w:p>
            <w:r>
              <w:rPr>
                <w:rFonts w:ascii="Calibri" w:hAnsi="Calibri"/>
                <w:sz w:val="22"/>
              </w:rPr>
              <w:t>Low to mid-teens FY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~10% YoY implied; below guidance midpoint of ~12–13%</w:t>
            </w:r>
          </w:p>
        </w:tc>
      </w:tr>
      <w:tr>
        <w:tc>
          <w:tcPr>
            <w:tcW w:type="dxa" w:w="1080"/>
          </w:tcPr>
          <w:p>
            <w:r>
              <w:rPr>
                <w:rFonts w:ascii="Calibri" w:hAnsi="Calibri"/>
                <w:sz w:val="22"/>
              </w:rPr>
              <w:t>Net Investment Income — Q2 2026 ($M)</w:t>
            </w:r>
          </w:p>
        </w:tc>
        <w:tc>
          <w:tcPr>
            <w:tcW w:type="dxa" w:w="1080"/>
          </w:tcPr>
          <w:p>
            <w:r>
              <w:rPr>
                <w:rFonts w:ascii="Calibri" w:hAnsi="Calibri"/>
                <w:sz w:val="22"/>
              </w:rPr>
              <w:t>$958M</w:t>
            </w:r>
          </w:p>
        </w:tc>
        <w:tc>
          <w:tcPr>
            <w:tcW w:type="dxa" w:w="1080"/>
          </w:tcPr>
          <w:p>
            <w:r>
              <w:rPr>
                <w:rFonts w:ascii="Calibri" w:hAnsi="Calibri"/>
                <w:sz w:val="22"/>
              </w:rPr>
              <w:t>$917M</w:t>
            </w:r>
          </w:p>
        </w:tc>
        <w:tc>
          <w:tcPr>
            <w:tcW w:type="dxa" w:w="1080"/>
          </w:tcPr>
          <w:p>
            <w:r>
              <w:rPr>
                <w:rFonts w:ascii="Calibri" w:hAnsi="Calibri"/>
                <w:sz w:val="22"/>
              </w:rPr>
              <w:t>-4.3%</w:t>
            </w:r>
          </w:p>
        </w:tc>
        <w:tc>
          <w:tcPr>
            <w:tcW w:type="dxa" w:w="1080"/>
          </w:tcPr>
          <w:p>
            <w:r>
              <w:rPr>
                <w:rFonts w:ascii="Calibri" w:hAnsi="Calibri"/>
                <w:sz w:val="22"/>
              </w:rPr>
              <w:t>Other Ops: $30–40M; alt returns below target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reflects guided alt headwind; in line</w:t>
            </w:r>
          </w:p>
        </w:tc>
      </w:tr>
    </w:tbl>
    <w:p>
      <w:r>
        <w:rPr>
          <w:rFonts w:ascii="Calibri" w:hAnsi="Calibri"/>
          <w:i/>
          <w:color w:val="525866"/>
          <w:sz w:val="22"/>
        </w:rPr>
        <w:t>Source: Visible Alpha Consensus and Actuals Data. Post-Q1 baseline uses consensus as of May 6, 2026 (5 trading days after April 30 earnings release). Current consensus as of August 5, 2026. NPW FY 2026 consensus of ~$26.8B implies ~10% YoY growth vs. management’s low-to-mid-teens guidance — the widest gap in the tracker and a potential source of upside if Everest integration and specialty lines growth outperform.</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AIG has gained ~7% since the Q1 earnings date (April 30, 2026) but has significantly lagged the KIE insurance ETF (+13%), suggesting </w:t>
      </w:r>
      <w:r>
        <w:rPr>
          <w:rFonts w:ascii="Calibri" w:hAnsi="Calibri"/>
          <w:b/>
          <w:color w:val="525866"/>
          <w:sz w:val="22"/>
        </w:rPr>
        <w:t>the stock’s re-rating has been driven by sector-wide multiple expansion rather than AIG-specific estimate revisions</w:t>
      </w:r>
      <w:r>
        <w:rPr>
          <w:rFonts w:ascii="Calibri" w:hAnsi="Calibri"/>
          <w:color w:val="525866"/>
          <w:sz w:val="22"/>
        </w:rPr>
        <w:t xml:space="preserve"> — AIG’s relative underperformance vs. peers leaves room for catch-up if Q2 results confirm the underwriting momentum.</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AIG vs. KIE (SPDR S&amp;P Insurance ETF) vs. S&amp;P 500 (SPY) — Indexed to 100 at April 30, 2026 (last earnings date). AIG: +7.1%; KIE: +13.2%; SPY: +7.1% through August 6, 2026. Source: Stock Price Data.</w:t>
      </w:r>
    </w:p>
    <w:p>
      <w:pPr>
        <w:pStyle w:val="ListBullet"/>
        <w:ind w:left="360" w:hanging="360"/>
      </w:pPr>
      <w:r>
        <w:rPr>
          <w:rFonts w:ascii="Calibri" w:hAnsi="Calibri"/>
          <w:color w:val="525866"/>
          <w:sz w:val="22"/>
        </w:rPr>
        <w:t>AIG closed at $74.80 on April 30, 2026 (pre-earnings) and rallied ~5% to $78.77 on May 1 following the Q1 beat. The stock has since traded in a range of $72.55–$81.06, closing at $80.12 on August 6, 2026 (earnings day).</w:t>
      </w:r>
    </w:p>
    <w:p>
      <w:pPr>
        <w:pStyle w:val="ListBullet"/>
        <w:ind w:left="360" w:hanging="360"/>
      </w:pPr>
      <w:r>
        <w:rPr>
          <w:rFonts w:ascii="Calibri" w:hAnsi="Calibri"/>
          <w:color w:val="525866"/>
          <w:sz w:val="22"/>
        </w:rPr>
        <w:t>The KIE insurance ETF has significantly outperformed AIG since the Q1 print (+13.2% vs. +7.1%), reflecting broad sector re-rating driven by favorable catastrophe experience and strong underwriting results across P&amp;C peers (TRV, WRB, CNA all reported strong Q2 results).</w:t>
      </w:r>
    </w:p>
    <w:p>
      <w:pPr>
        <w:pStyle w:val="ListBullet"/>
        <w:ind w:left="360" w:hanging="360"/>
      </w:pPr>
      <w:r>
        <w:rPr>
          <w:rFonts w:ascii="Calibri" w:hAnsi="Calibri"/>
          <w:color w:val="525866"/>
          <w:sz w:val="22"/>
        </w:rPr>
        <w:t>AIG’s underperformance vs. KIE is notable given its strong Q1 beat and may reflect investor caution around the CEO transition (Eric Andersen officially became CEO June 1), the Lexington large account portfolio contraction, and the guided alternative investment headwind.</w:t>
      </w:r>
    </w:p>
    <w:p>
      <w:pPr>
        <w:pStyle w:val="ListBullet"/>
        <w:ind w:left="360" w:hanging="360"/>
      </w:pPr>
      <w:r>
        <w:rPr>
          <w:rFonts w:ascii="Calibri" w:hAnsi="Calibri"/>
          <w:color w:val="525866"/>
          <w:sz w:val="22"/>
        </w:rPr>
        <w:t>Piper Sandler downgraded AIG to Neutral from Overweight on July 15, 2026, which may have weighed on relative performance in mid-July.</w:t>
      </w:r>
    </w:p>
    <w:p>
      <w:pPr>
        <w:pStyle w:val="ListBullet"/>
        <w:ind w:left="360" w:hanging="360"/>
      </w:pPr>
      <w:r>
        <w:rPr>
          <w:rFonts w:ascii="Calibri" w:hAnsi="Calibri"/>
          <w:color w:val="525866"/>
          <w:sz w:val="22"/>
        </w:rPr>
        <w:t>The stock’s current level of ~$80 implies a forward P/E of approximately 10x on FY 2026 consensus EPS of $7.98 — a modest discount to the P&amp;C insurance peer group average, consistent with the market pricing in execution risk on the transformation strategy.</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formal CEO transition to Eric Andersen on June 1</w:t>
      </w:r>
      <w:r>
        <w:rPr>
          <w:rFonts w:ascii="Calibri" w:hAnsi="Calibri"/>
          <w:color w:val="525866"/>
          <w:sz w:val="22"/>
        </w:rPr>
        <w:t xml:space="preserve"> — a continuity event that removes succession uncertainty, though the market will be watching closely for any strategic tone shift on the Q2 call; separately, the Piper Sandler downgrade in mid-July is a modest headwind to sentiment heading into the print.</w:t>
      </w:r>
    </w:p>
    <w:p>
      <w:pPr>
        <w:pStyle w:val="ListBullet"/>
        <w:ind w:left="360" w:hanging="360"/>
      </w:pPr>
      <w:r>
        <w:rPr>
          <w:rFonts w:ascii="Calibri" w:hAnsi="Calibri"/>
          <w:b/>
          <w:color w:val="525866"/>
          <w:sz w:val="22"/>
        </w:rPr>
        <w:t>July 15, 2026 — Piper Sandler Downgrade to Neutral (from Overweight):</w:t>
      </w:r>
      <w:r>
        <w:rPr>
          <w:rFonts w:ascii="Calibri" w:hAnsi="Calibri"/>
          <w:color w:val="525866"/>
          <w:sz w:val="22"/>
        </w:rPr>
        <w:t xml:space="preserve"> Piper Sandler downgraded AIG to Neutral from Overweight. Implication: removes a key bull voice ahead of earnings; may reflect concern about relative valuation after the sector re-rating or execution risk on the Lexington portfolio contraction.</w:t>
      </w:r>
    </w:p>
    <w:p>
      <w:pPr>
        <w:pStyle w:val="ListBullet"/>
        <w:ind w:left="360" w:hanging="360"/>
      </w:pPr>
      <w:r>
        <w:rPr>
          <w:rFonts w:ascii="Calibri" w:hAnsi="Calibri"/>
          <w:b/>
          <w:color w:val="525866"/>
          <w:sz w:val="22"/>
        </w:rPr>
        <w:t>July 1, 2026 — AIG Reports Q2 2026 Earnings Date:</w:t>
      </w:r>
      <w:r>
        <w:rPr>
          <w:rFonts w:ascii="Calibri" w:hAnsi="Calibri"/>
          <w:color w:val="525866"/>
          <w:sz w:val="22"/>
        </w:rPr>
        <w:t xml:space="preserve"> AIG confirmed it will report Q2 2026 results on August 6, 2026 after market close, with a conference call on August 7, 2026. Implication: confirms the timeline; no pre-announcement or guidance update was issued alongside.</w:t>
      </w:r>
    </w:p>
    <w:p>
      <w:pPr>
        <w:pStyle w:val="ListBullet"/>
        <w:ind w:left="360" w:hanging="360"/>
      </w:pPr>
      <w:r>
        <w:rPr>
          <w:rFonts w:ascii="Calibri" w:hAnsi="Calibri"/>
          <w:b/>
          <w:color w:val="525866"/>
          <w:sz w:val="22"/>
        </w:rPr>
        <w:t>June 1, 2026 — Eric Andersen Officially Becomes CEO:</w:t>
      </w:r>
      <w:r>
        <w:rPr>
          <w:rFonts w:ascii="Calibri" w:hAnsi="Calibri"/>
          <w:color w:val="525866"/>
          <w:sz w:val="22"/>
        </w:rPr>
        <w:t xml:space="preserve"> Eric Andersen assumed the CEO role, with Peter Zaffino transitioning to Executive Chairman. Andersen had spent ~90 days onboarding and meeting with clients, brokers, and regulators, and explicitly reaffirmed all Investor Day targets on the Q1 call. Implication: leadership transition is complete; Q2 call will be Andersen’s first as CEO — tone and strategic emphasis will be closely watched.</w:t>
      </w:r>
    </w:p>
    <w:p>
      <w:pPr>
        <w:pStyle w:val="ListBullet"/>
        <w:ind w:left="360" w:hanging="360"/>
      </w:pPr>
      <w:r>
        <w:rPr>
          <w:rFonts w:ascii="Calibri" w:hAnsi="Calibri"/>
          <w:b/>
          <w:color w:val="525866"/>
          <w:sz w:val="22"/>
        </w:rPr>
        <w:t>May 14, 2026 — New Independent Director Appointed; Shareholder Votes:</w:t>
      </w:r>
      <w:r>
        <w:rPr>
          <w:rFonts w:ascii="Calibri" w:hAnsi="Calibri"/>
          <w:color w:val="525866"/>
          <w:sz w:val="22"/>
        </w:rPr>
        <w:t xml:space="preserve"> AIG appointed a new independent director and received shareholder backing for executive pay and auditor at the annual meeting. Implication: governance continuity; no activist pressure or contested votes.</w:t>
      </w:r>
    </w:p>
    <w:p>
      <w:pPr>
        <w:pStyle w:val="ListBullet"/>
        <w:ind w:left="360" w:hanging="360"/>
      </w:pPr>
      <w:r>
        <w:rPr>
          <w:rFonts w:ascii="Calibri" w:hAnsi="Calibri"/>
          <w:b/>
          <w:color w:val="525866"/>
          <w:sz w:val="22"/>
        </w:rPr>
        <w:t>April 30, 2026 — Q1 2026 Earnings Beat &amp; Dividend Increase:</w:t>
      </w:r>
      <w:r>
        <w:rPr>
          <w:rFonts w:ascii="Calibri" w:hAnsi="Calibri"/>
          <w:color w:val="525866"/>
          <w:sz w:val="22"/>
        </w:rPr>
        <w:t xml:space="preserve"> AIG reported its strongest Q1 since Zaffino joined, with adjusted EPS of $2.11 (well above ~$1.88 consensus) and a combined ratio of 87.2% (vs. ~90.8% consensus). The Board approved an 11% dividend increase to $0.50/share starting Q2 2026. Implication: sets a high bar for Q2 but demonstrates the durability of underwriting outperformance.</w:t>
      </w:r>
    </w:p>
    <w:p>
      <w:pPr>
        <w:pStyle w:val="ListBullet"/>
        <w:ind w:left="360" w:hanging="360"/>
      </w:pPr>
      <w:r>
        <w:rPr>
          <w:rFonts w:ascii="Calibri" w:hAnsi="Calibri"/>
          <w:b/>
          <w:color w:val="525866"/>
          <w:sz w:val="22"/>
        </w:rPr>
        <w:t>Ongoing — Lexington Large Account Portfolio Contraction:</w:t>
      </w:r>
      <w:r>
        <w:rPr>
          <w:rFonts w:ascii="Calibri" w:hAnsi="Calibri"/>
          <w:color w:val="525866"/>
          <w:sz w:val="22"/>
        </w:rPr>
        <w:t xml:space="preserve"> Management has been actively non-renewing Lexington large account shared-and-layered property business that no longer meets risk-adjusted return thresholds, with the portfolio down 19% YoY as of Q1. This is expected to continue throughout 2026 if pricing pressure persists. Implication: a drag on NPW growth but a positive for combined ratio quality; peer commentary from WRB and TRV confirms the shared-and-layered property market remains “particularly concerning” with irrational pricing.</w:t>
      </w:r>
    </w:p>
    <w:p>
      <w:pPr>
        <w:pStyle w:val="ListBullet"/>
        <w:ind w:left="360" w:hanging="360"/>
      </w:pPr>
      <w:r>
        <w:rPr>
          <w:rFonts w:ascii="Calibri" w:hAnsi="Calibri"/>
          <w:b/>
          <w:color w:val="525866"/>
          <w:sz w:val="22"/>
        </w:rPr>
        <w:t>Ongoing — GenAI / Agentic AI Deployment:</w:t>
      </w:r>
      <w:r>
        <w:rPr>
          <w:rFonts w:ascii="Calibri" w:hAnsi="Calibri"/>
          <w:color w:val="525866"/>
          <w:sz w:val="22"/>
        </w:rPr>
        <w:t xml:space="preserve"> AIG’s “Underwriting by AIG Assist” program (in partnership with Palantir and Anthropic) has delivered 30% improvement in quoting submissions, 55% reduction in time-to-quote, and 40% increase in binding in Lexington middle market property. Multi-agentic AI workflows are now in active beta. Implication: a medium-term efficiency driver that could accelerate expense ratio improvement toward the &lt;30% Investor Day target.</w:t>
      </w:r>
    </w:p>
    <w:p>
      <w:pPr>
        <w:pStyle w:val="ListBullet"/>
        <w:ind w:left="360" w:hanging="360"/>
      </w:pPr>
      <w:r>
        <w:rPr>
          <w:rFonts w:ascii="Calibri" w:hAnsi="Calibri"/>
          <w:b/>
          <w:color w:val="525866"/>
          <w:sz w:val="22"/>
        </w:rPr>
        <w:t>Ongoing — Corebridge Financial Exit:</w:t>
      </w:r>
      <w:r>
        <w:rPr>
          <w:rFonts w:ascii="Calibri" w:hAnsi="Calibri"/>
          <w:color w:val="525866"/>
          <w:sz w:val="22"/>
        </w:rPr>
        <w:t xml:space="preserve"> AIG held ~5.6% of Corebridge as of Q1 2026 and has guided to a full exit in 2026, with proceeds earmarked for share repurchases. Implication: a potential catalyst for buyback acceleration; timing is subject to market conditions and has not been updated since the Q1 call.</w:t>
      </w:r>
    </w:p>
    <w:p>
      <w:pPr>
        <w:pStyle w:val="ListBullet"/>
        <w:ind w:left="360" w:hanging="360"/>
      </w:pPr>
      <w:r>
        <w:rPr>
          <w:rFonts w:ascii="Calibri" w:hAnsi="Calibri"/>
          <w:b/>
          <w:color w:val="525866"/>
          <w:sz w:val="22"/>
        </w:rPr>
        <w:t>Ongoing — Geopolitical &amp; Trade Risk Demand Tailwind:</w:t>
      </w:r>
      <w:r>
        <w:rPr>
          <w:rFonts w:ascii="Calibri" w:hAnsi="Calibri"/>
          <w:color w:val="525866"/>
          <w:sz w:val="22"/>
        </w:rPr>
        <w:t xml:space="preserve"> Management highlighted growing demand for political risk, trade credit, and marine/war insurance driven by Middle East conflict and shifting trade policies. AIG is participating in the U.S. International Development Finance Corporation’s Maritime Reinsurance plan. Implication: a specialty lines growth tailwind that could support NPW growth above consensus.</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have been filed since the Q1 earnings date — </w:t>
      </w:r>
      <w:r>
        <w:rPr>
          <w:rFonts w:ascii="Calibri" w:hAnsi="Calibri"/>
          <w:b/>
          <w:color w:val="525866"/>
          <w:sz w:val="22"/>
        </w:rPr>
        <w:t>all transactions are routine compensation-related (tax withholding forfeitures and deferred stock unit awards)</w:t>
      </w:r>
      <w:r>
        <w:rPr>
          <w:rFonts w:ascii="Calibri" w:hAnsi="Calibri"/>
          <w:color w:val="525866"/>
          <w:sz w:val="22"/>
        </w:rPr>
        <w:t>, which is a neutral signal; the absence of any discretionary selling by senior executives ahead of earnings is modestly constructive.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Schaper, Christopher</w:t>
            </w:r>
          </w:p>
        </w:tc>
        <w:tc>
          <w:tcPr>
            <w:tcW w:type="dxa" w:w="1440"/>
          </w:tcPr>
          <w:p>
            <w:r>
              <w:rPr>
                <w:rFonts w:ascii="Calibri" w:hAnsi="Calibri"/>
                <w:sz w:val="22"/>
              </w:rPr>
              <w:t>EVP, Chief Risk Officer</w:t>
            </w:r>
          </w:p>
        </w:tc>
        <w:tc>
          <w:tcPr>
            <w:tcW w:type="dxa" w:w="1440"/>
          </w:tcPr>
          <w:p>
            <w:r>
              <w:rPr>
                <w:rFonts w:ascii="Calibri" w:hAnsi="Calibri"/>
                <w:sz w:val="22"/>
              </w:rPr>
              <w:t>Tax Withholding (F-code)</w:t>
            </w:r>
          </w:p>
        </w:tc>
        <w:tc>
          <w:tcPr>
            <w:tcW w:type="dxa" w:w="1440"/>
          </w:tcPr>
          <w:p>
            <w:r>
              <w:rPr>
                <w:rFonts w:ascii="Calibri" w:hAnsi="Calibri"/>
                <w:sz w:val="22"/>
              </w:rPr>
              <w:t>2,476 shares</w:t>
            </w:r>
          </w:p>
        </w:tc>
        <w:tc>
          <w:tcPr>
            <w:tcW w:type="dxa" w:w="1440"/>
          </w:tcPr>
          <w:p>
            <w:r>
              <w:rPr>
                <w:rFonts w:ascii="Calibri" w:hAnsi="Calibri"/>
                <w:sz w:val="22"/>
              </w:rPr>
              <w:t>Jul 27, 2026</w:t>
            </w:r>
          </w:p>
        </w:tc>
        <w:tc>
          <w:tcPr>
            <w:tcW w:type="dxa" w:w="1440"/>
          </w:tcPr>
          <w:p>
            <w:r>
              <w:rPr>
                <w:rFonts w:ascii="Calibri" w:hAnsi="Calibri"/>
                <w:sz w:val="22"/>
              </w:rPr>
              <w:t>Mandatory tax withholding on vesting; not a discretionary sale</w:t>
            </w:r>
          </w:p>
        </w:tc>
      </w:tr>
      <w:tr>
        <w:tc>
          <w:tcPr>
            <w:tcW w:type="dxa" w:w="1440"/>
          </w:tcPr>
          <w:p>
            <w:r>
              <w:rPr>
                <w:rFonts w:ascii="Calibri" w:hAnsi="Calibri"/>
                <w:sz w:val="22"/>
              </w:rPr>
              <w:t>Lafnitzegger, Kelly</w:t>
            </w:r>
          </w:p>
        </w:tc>
        <w:tc>
          <w:tcPr>
            <w:tcW w:type="dxa" w:w="1440"/>
          </w:tcPr>
          <w:p>
            <w:r>
              <w:rPr>
                <w:rFonts w:ascii="Calibri" w:hAnsi="Calibri"/>
                <w:sz w:val="22"/>
              </w:rPr>
              <w:t>EVP, Chief HR Officer</w:t>
            </w:r>
          </w:p>
        </w:tc>
        <w:tc>
          <w:tcPr>
            <w:tcW w:type="dxa" w:w="1440"/>
          </w:tcPr>
          <w:p>
            <w:r>
              <w:rPr>
                <w:rFonts w:ascii="Calibri" w:hAnsi="Calibri"/>
                <w:sz w:val="22"/>
              </w:rPr>
              <w:t>Tax Withholding (F-code)</w:t>
            </w:r>
          </w:p>
        </w:tc>
        <w:tc>
          <w:tcPr>
            <w:tcW w:type="dxa" w:w="1440"/>
          </w:tcPr>
          <w:p>
            <w:r>
              <w:rPr>
                <w:rFonts w:ascii="Calibri" w:hAnsi="Calibri"/>
                <w:sz w:val="22"/>
              </w:rPr>
              <w:t>549 shares</w:t>
            </w:r>
          </w:p>
        </w:tc>
        <w:tc>
          <w:tcPr>
            <w:tcW w:type="dxa" w:w="1440"/>
          </w:tcPr>
          <w:p>
            <w:r>
              <w:rPr>
                <w:rFonts w:ascii="Calibri" w:hAnsi="Calibri"/>
                <w:sz w:val="22"/>
              </w:rPr>
              <w:t>Jun 3, 2026</w:t>
            </w:r>
          </w:p>
        </w:tc>
        <w:tc>
          <w:tcPr>
            <w:tcW w:type="dxa" w:w="1440"/>
          </w:tcPr>
          <w:p>
            <w:r>
              <w:rPr>
                <w:rFonts w:ascii="Calibri" w:hAnsi="Calibri"/>
                <w:sz w:val="22"/>
              </w:rPr>
              <w:t>Mandatory tax withholding on vesting; not a discretionary sale</w:t>
            </w:r>
          </w:p>
        </w:tc>
      </w:tr>
      <w:tr>
        <w:tc>
          <w:tcPr>
            <w:tcW w:type="dxa" w:w="1440"/>
          </w:tcPr>
          <w:p>
            <w:r>
              <w:rPr>
                <w:rFonts w:ascii="Calibri" w:hAnsi="Calibri"/>
                <w:sz w:val="22"/>
              </w:rPr>
              <w:t>Zaffino, Peter</w:t>
            </w:r>
          </w:p>
        </w:tc>
        <w:tc>
          <w:tcPr>
            <w:tcW w:type="dxa" w:w="1440"/>
          </w:tcPr>
          <w:p>
            <w:r>
              <w:rPr>
                <w:rFonts w:ascii="Calibri" w:hAnsi="Calibri"/>
                <w:sz w:val="22"/>
              </w:rPr>
              <w:t>Executive Chairman</w:t>
            </w:r>
          </w:p>
        </w:tc>
        <w:tc>
          <w:tcPr>
            <w:tcW w:type="dxa" w:w="1440"/>
          </w:tcPr>
          <w:p>
            <w:r>
              <w:rPr>
                <w:rFonts w:ascii="Calibri" w:hAnsi="Calibri"/>
                <w:sz w:val="22"/>
              </w:rPr>
              <w:t>Award (A-code — RSU Dividend Equivalents)</w:t>
            </w:r>
          </w:p>
        </w:tc>
        <w:tc>
          <w:tcPr>
            <w:tcW w:type="dxa" w:w="1440"/>
          </w:tcPr>
          <w:p>
            <w:r>
              <w:rPr>
                <w:rFonts w:ascii="Calibri" w:hAnsi="Calibri"/>
                <w:sz w:val="22"/>
              </w:rPr>
              <w:t>6,241 units</w:t>
            </w:r>
          </w:p>
        </w:tc>
        <w:tc>
          <w:tcPr>
            <w:tcW w:type="dxa" w:w="1440"/>
          </w:tcPr>
          <w:p>
            <w:r>
              <w:rPr>
                <w:rFonts w:ascii="Calibri" w:hAnsi="Calibri"/>
                <w:sz w:val="22"/>
              </w:rPr>
              <w:t>Jun 29, 2026</w:t>
            </w:r>
          </w:p>
        </w:tc>
        <w:tc>
          <w:tcPr>
            <w:tcW w:type="dxa" w:w="1440"/>
          </w:tcPr>
          <w:p>
            <w:r>
              <w:rPr>
                <w:rFonts w:ascii="Calibri" w:hAnsi="Calibri"/>
                <w:sz w:val="22"/>
              </w:rPr>
              <w:t>Dividend equivalent units on November 2022 RSUs; routine compensation award</w:t>
            </w:r>
          </w:p>
        </w:tc>
      </w:tr>
      <w:tr>
        <w:tc>
          <w:tcPr>
            <w:tcW w:type="dxa" w:w="1440"/>
          </w:tcPr>
          <w:p>
            <w:r>
              <w:rPr>
                <w:rFonts w:ascii="Calibri" w:hAnsi="Calibri"/>
                <w:sz w:val="22"/>
              </w:rPr>
              <w:t>Stoddard, Thomas D.</w:t>
            </w:r>
          </w:p>
        </w:tc>
        <w:tc>
          <w:tcPr>
            <w:tcW w:type="dxa" w:w="1440"/>
          </w:tcPr>
          <w:p>
            <w:r>
              <w:rPr>
                <w:rFonts w:ascii="Calibri" w:hAnsi="Calibri"/>
                <w:sz w:val="22"/>
              </w:rPr>
              <w:t>Director</w:t>
            </w:r>
          </w:p>
        </w:tc>
        <w:tc>
          <w:tcPr>
            <w:tcW w:type="dxa" w:w="1440"/>
          </w:tcPr>
          <w:p>
            <w:r>
              <w:rPr>
                <w:rFonts w:ascii="Calibri" w:hAnsi="Calibri"/>
                <w:sz w:val="22"/>
              </w:rPr>
              <w:t>Award (A-code — DSU)</w:t>
            </w:r>
          </w:p>
        </w:tc>
        <w:tc>
          <w:tcPr>
            <w:tcW w:type="dxa" w:w="1440"/>
          </w:tcPr>
          <w:p>
            <w:r>
              <w:rPr>
                <w:rFonts w:ascii="Calibri" w:hAnsi="Calibri"/>
                <w:sz w:val="22"/>
              </w:rPr>
              <w:t>2,387 units</w:t>
            </w:r>
          </w:p>
        </w:tc>
        <w:tc>
          <w:tcPr>
            <w:tcW w:type="dxa" w:w="1440"/>
          </w:tcPr>
          <w:p>
            <w:r>
              <w:rPr>
                <w:rFonts w:ascii="Calibri" w:hAnsi="Calibri"/>
                <w:sz w:val="22"/>
              </w:rPr>
              <w:t>Jun 1, 2026</w:t>
            </w:r>
          </w:p>
        </w:tc>
        <w:tc>
          <w:tcPr>
            <w:tcW w:type="dxa" w:w="1440"/>
          </w:tcPr>
          <w:p>
            <w:r>
              <w:rPr>
                <w:rFonts w:ascii="Calibri" w:hAnsi="Calibri"/>
                <w:sz w:val="22"/>
              </w:rPr>
              <w:t>Deferred stock unit award; routine director compensation</w:t>
            </w:r>
          </w:p>
        </w:tc>
      </w:tr>
      <w:tr>
        <w:tc>
          <w:tcPr>
            <w:tcW w:type="dxa" w:w="1440"/>
          </w:tcPr>
          <w:p>
            <w:r>
              <w:rPr>
                <w:rFonts w:ascii="Calibri" w:hAnsi="Calibri"/>
                <w:sz w:val="22"/>
              </w:rPr>
              <w:t>Multiple Directors (Cole, Inglis, Leimkuhler, Mills, Murphy, Perez, Porrino, Rice, Wittman)</w:t>
            </w:r>
          </w:p>
        </w:tc>
        <w:tc>
          <w:tcPr>
            <w:tcW w:type="dxa" w:w="1440"/>
          </w:tcPr>
          <w:p>
            <w:r>
              <w:rPr>
                <w:rFonts w:ascii="Calibri" w:hAnsi="Calibri"/>
                <w:sz w:val="22"/>
              </w:rPr>
              <w:t>Directors</w:t>
            </w:r>
          </w:p>
        </w:tc>
        <w:tc>
          <w:tcPr>
            <w:tcW w:type="dxa" w:w="1440"/>
          </w:tcPr>
          <w:p>
            <w:r>
              <w:rPr>
                <w:rFonts w:ascii="Calibri" w:hAnsi="Calibri"/>
                <w:sz w:val="22"/>
              </w:rPr>
              <w:t>Award (A-code — DSU)</w:t>
            </w:r>
          </w:p>
        </w:tc>
        <w:tc>
          <w:tcPr>
            <w:tcW w:type="dxa" w:w="1440"/>
          </w:tcPr>
          <w:p>
            <w:r>
              <w:rPr>
                <w:rFonts w:ascii="Calibri" w:hAnsi="Calibri"/>
                <w:sz w:val="22"/>
              </w:rPr>
              <w:t>38–1,371 units each</w:t>
            </w:r>
          </w:p>
        </w:tc>
        <w:tc>
          <w:tcPr>
            <w:tcW w:type="dxa" w:w="1440"/>
          </w:tcPr>
          <w:p>
            <w:r>
              <w:rPr>
                <w:rFonts w:ascii="Calibri" w:hAnsi="Calibri"/>
                <w:sz w:val="22"/>
              </w:rPr>
              <w:t>Jul 1–2, 2026</w:t>
            </w:r>
          </w:p>
        </w:tc>
        <w:tc>
          <w:tcPr>
            <w:tcW w:type="dxa" w:w="1440"/>
          </w:tcPr>
          <w:p>
            <w:r>
              <w:rPr>
                <w:rFonts w:ascii="Calibri" w:hAnsi="Calibri"/>
                <w:sz w:val="22"/>
              </w:rPr>
              <w:t>Routine quarterly deferred stock unit awards for director compensation</w:t>
            </w:r>
          </w:p>
        </w:tc>
      </w:tr>
    </w:tbl>
    <w:p>
      <w:r>
        <w:rPr>
          <w:rFonts w:ascii="Calibri" w:hAnsi="Calibri"/>
          <w:i/>
          <w:color w:val="525866"/>
          <w:sz w:val="22"/>
        </w:rPr>
        <w:t>Source: SEC Form 4 filings via Insider Transaction Data. Period covered: May 1, 2026 – August 5, 2026. All transactions are compensation-related (F-code = tax withholding on vesting; A-code = award/grant). No open-market purchases (P-code) or discretionary sales (S-code) were filed during this period. The complete absence of discretionary selling by the new CEO Eric Andersen or CFO Keith Walsh is a neutral-to-positive signal.</w:t>
      </w:r>
    </w:p>
    <w:p>
      <w:r>
        <w:br w:type="page"/>
      </w:r>
    </w:p>
    <w:p>
      <w:pPr>
        <w:pStyle w:val="Heading2"/>
      </w:pPr>
      <w:r>
        <w:rPr>
          <w:rFonts w:ascii="Calibri" w:hAnsi="Calibri"/>
          <w:b/>
          <w:color w:val="3B4259"/>
          <w:sz w:val="28"/>
        </w:rPr>
        <w:t>8. Peer Commentaries — Q2 2026 Read-Throughs</w:t>
      </w:r>
    </w:p>
    <w:p>
      <w:r>
        <w:rPr>
          <w:rFonts w:ascii="Calibri" w:hAnsi="Calibri"/>
          <w:b/>
          <w:color w:val="525866"/>
          <w:sz w:val="22"/>
        </w:rPr>
        <w:t xml:space="preserve">Key Takeaway: </w:t>
      </w:r>
      <w:r>
        <w:rPr>
          <w:rFonts w:ascii="Calibri" w:hAnsi="Calibri"/>
          <w:color w:val="525866"/>
          <w:sz w:val="22"/>
        </w:rPr>
        <w:t xml:space="preserve">Q2 2026 peer results from Travelers, W.R. Berkley, and CNA are broadly positive read-throughs for AIG — </w:t>
      </w:r>
      <w:r>
        <w:rPr>
          <w:rFonts w:ascii="Calibri" w:hAnsi="Calibri"/>
          <w:b/>
          <w:color w:val="525866"/>
          <w:sz w:val="22"/>
        </w:rPr>
        <w:t>benign catastrophe losses, strong casualty pricing, and disciplined property underwriting</w:t>
      </w:r>
      <w:r>
        <w:rPr>
          <w:rFonts w:ascii="Calibri" w:hAnsi="Calibri"/>
          <w:color w:val="525866"/>
          <w:sz w:val="22"/>
        </w:rPr>
        <w:t xml:space="preserve"> all align with AIG’s strategy, though CNA’s elevated underlying loss ratio and social inflation charges are a reminder that casualty reserve adequacy remains a key watch item.</w:t>
      </w:r>
    </w:p>
    <w:p>
      <w:r>
        <w:rPr>
          <w:rFonts w:ascii="Calibri" w:hAnsi="Calibri"/>
          <w:i/>
          <w:color w:val="525866"/>
          <w:sz w:val="22"/>
        </w:rPr>
        <w:t>Note: Only Q2 2026 earnings commentary (reporting the quarter ended June 30, 2026) is included below. Prior-quarter results and retrospective commentary have been excluded.</w:t>
      </w:r>
    </w:p>
    <w:p>
      <w:pPr>
        <w:pStyle w:val="Heading3"/>
      </w:pPr>
      <w:r>
        <w:rPr>
          <w:rFonts w:ascii="Calibri" w:hAnsi="Calibri"/>
          <w:b/>
          <w:color w:val="3B4259"/>
          <w:sz w:val="24"/>
        </w:rPr>
        <w:t>Travelers (TRV) — Q2 2026 Earnings Call (July 17, 2026)</w:t>
      </w:r>
    </w:p>
    <w:p>
      <w:r>
        <w:rPr>
          <w:rFonts w:ascii="Calibri" w:hAnsi="Calibri"/>
          <w:b/>
          <w:color w:val="525866"/>
          <w:sz w:val="22"/>
        </w:rPr>
        <w:t xml:space="preserve">Read-Through Signal: </w:t>
      </w:r>
      <w:r>
        <w:rPr>
          <w:rFonts w:ascii="Calibri" w:hAnsi="Calibri"/>
          <w:b/>
          <w:color w:val="30A46C"/>
          <w:sz w:val="22"/>
        </w:rPr>
        <w:t>Strongly Positive</w:t>
      </w:r>
    </w:p>
    <w:p>
      <w:pPr>
        <w:pStyle w:val="ListBullet"/>
        <w:ind w:left="360" w:hanging="360"/>
      </w:pPr>
      <w:r>
        <w:rPr>
          <w:rFonts w:ascii="Calibri" w:hAnsi="Calibri"/>
          <w:b/>
          <w:color w:val="525866"/>
          <w:sz w:val="22"/>
        </w:rPr>
        <w:t>Exceptional underwriting profitability:</w:t>
      </w:r>
      <w:r>
        <w:rPr>
          <w:rFonts w:ascii="Calibri" w:hAnsi="Calibri"/>
          <w:color w:val="525866"/>
          <w:sz w:val="22"/>
        </w:rPr>
        <w:t xml:space="preserve"> TRV reported a combined ratio of 83.6% and underlying combined ratio of 84.1% in Q2 2026 — among the best in the company’s history. Core income was $2.2B ($10.04/diluted share) with a core ROE of 24.9%. This sets a high-quality benchmark for the P&amp;C sector and is a positive read-through for AIG’s own underwriting results.</w:t>
      </w:r>
    </w:p>
    <w:p>
      <w:pPr>
        <w:pStyle w:val="ListBullet"/>
        <w:ind w:left="360" w:hanging="360"/>
      </w:pPr>
      <w:r>
        <w:rPr>
          <w:rFonts w:ascii="Calibri" w:hAnsi="Calibri"/>
          <w:b/>
          <w:color w:val="525866"/>
          <w:sz w:val="22"/>
        </w:rPr>
        <w:t>Benign catastrophe losses:</w:t>
      </w:r>
      <w:r>
        <w:rPr>
          <w:rFonts w:ascii="Calibri" w:hAnsi="Calibri"/>
          <w:color w:val="525866"/>
          <w:sz w:val="22"/>
        </w:rPr>
        <w:t xml:space="preserve"> After-tax cat losses were “a little more than $400M” for TRV in Q2 2026, described as modest relative to the strong underlying result. TRV noted that its share of industry cat losses over the past decade has been meaningfully below its market share — suggesting Q2 2026 was not an outsized cat quarter for the industry. This is a direct positive read-through for AIG’s combined ratio.</w:t>
      </w:r>
    </w:p>
    <w:p>
      <w:pPr>
        <w:pStyle w:val="ListBullet"/>
        <w:ind w:left="360" w:hanging="360"/>
      </w:pPr>
      <w:r>
        <w:rPr>
          <w:rFonts w:ascii="Calibri" w:hAnsi="Calibri"/>
          <w:b/>
          <w:color w:val="525866"/>
          <w:sz w:val="22"/>
        </w:rPr>
        <w:t>National property discipline — validates AIG’s Lexington strategy:</w:t>
      </w:r>
      <w:r>
        <w:rPr>
          <w:rFonts w:ascii="Calibri" w:hAnsi="Calibri"/>
          <w:color w:val="525866"/>
          <w:sz w:val="22"/>
        </w:rPr>
        <w:t xml:space="preserve"> TRV explicitly stated it “continues to be very disciplined about writing national property,” declining business where price and terms don’t align with its view of risk. Net written premiums in national property declined. This directly validates AIG’s decision to contract the Lexington large account shared-and-layered portfolio — the rational underwriters are walking away from this business.</w:t>
      </w:r>
    </w:p>
    <w:p>
      <w:pPr>
        <w:pStyle w:val="ListBullet"/>
        <w:ind w:left="360" w:hanging="360"/>
      </w:pPr>
      <w:r>
        <w:rPr>
          <w:rFonts w:ascii="Calibri" w:hAnsi="Calibri"/>
          <w:b/>
          <w:color w:val="525866"/>
          <w:sz w:val="22"/>
        </w:rPr>
        <w:t>Casualty pricing remains favorable:</w:t>
      </w:r>
      <w:r>
        <w:rPr>
          <w:rFonts w:ascii="Calibri" w:hAnsi="Calibri"/>
          <w:color w:val="525866"/>
          <w:sz w:val="22"/>
        </w:rPr>
        <w:t xml:space="preserve"> TRV reported no pressure in casualty lines (umbrella, commercial auto) in Q2, with Business Insurance renewal premium change of 4.8% overall and 7.8% excluding property. Middle market new business hit an all-time high of $500M+. This is a positive read-through for AIG’s North America Casualty segment, where pricing was already running at +14% (retail Excess Casualty) and +8% (Lexington Casualty) as of Q1.</w:t>
      </w:r>
    </w:p>
    <w:p>
      <w:pPr>
        <w:pStyle w:val="ListBullet"/>
        <w:ind w:left="360" w:hanging="360"/>
      </w:pPr>
      <w:r>
        <w:rPr>
          <w:rFonts w:ascii="Calibri" w:hAnsi="Calibri"/>
          <w:b/>
          <w:color w:val="525866"/>
          <w:sz w:val="22"/>
        </w:rPr>
        <w:t>Surety / specialty growth — data center tailwind:</w:t>
      </w:r>
      <w:r>
        <w:rPr>
          <w:rFonts w:ascii="Calibri" w:hAnsi="Calibri"/>
          <w:color w:val="525866"/>
          <w:sz w:val="22"/>
        </w:rPr>
        <w:t xml:space="preserve"> TRV grew Bond &amp; Specialty net written premiums 14% to a record $1.2B, with surety up 40% driven by data center development bonding. This is a positive read-through for AIG’s specialty lines and confirms the data center / infrastructure buildout as a durable demand driver.</w:t>
      </w:r>
    </w:p>
    <w:p>
      <w:pPr>
        <w:pStyle w:val="ListBullet"/>
        <w:ind w:left="360" w:hanging="360"/>
      </w:pPr>
      <w:r>
        <w:rPr>
          <w:rFonts w:ascii="Calibri" w:hAnsi="Calibri"/>
          <w:b/>
          <w:color w:val="525866"/>
          <w:sz w:val="22"/>
        </w:rPr>
        <w:t>Net investment income growing:</w:t>
      </w:r>
      <w:r>
        <w:rPr>
          <w:rFonts w:ascii="Calibri" w:hAnsi="Calibri"/>
          <w:color w:val="525866"/>
          <w:sz w:val="22"/>
        </w:rPr>
        <w:t xml:space="preserve"> TRV’s after-tax NII grew 14% to $883M, with fixed income NII guided to ~$840M in Q3 and ~$870M in Q4 2026. The new money rate “comfortably starts with a five” above the book yield. This is a positive read-through for AIG’s NII trajectory, though AIG’s alt investment headwind in Q2 is a company-specific drag.</w:t>
      </w:r>
    </w:p>
    <w:p>
      <w:pPr>
        <w:pStyle w:val="ListBullet"/>
        <w:ind w:left="360" w:hanging="360"/>
      </w:pPr>
      <w:r>
        <w:rPr>
          <w:rFonts w:ascii="Calibri" w:hAnsi="Calibri"/>
          <w:b/>
          <w:color w:val="525866"/>
          <w:sz w:val="22"/>
        </w:rPr>
        <w:t>AI in claims processing:</w:t>
      </w:r>
      <w:r>
        <w:rPr>
          <w:rFonts w:ascii="Calibri" w:hAnsi="Calibri"/>
          <w:color w:val="525866"/>
          <w:sz w:val="22"/>
        </w:rPr>
        <w:t xml:space="preserve"> TRV highlighted AI-driven straight-through claims processing as a contributor to efficiency gains, consistent with AIG’s own agentic AI deployment in underwriting and claims fraud detection.</w:t>
      </w:r>
    </w:p>
    <w:p>
      <w:r>
        <w:rPr>
          <w:rFonts w:ascii="Calibri" w:hAnsi="Calibri"/>
          <w:i/>
          <w:color w:val="525866"/>
          <w:sz w:val="22"/>
        </w:rPr>
        <w:t>Source: Travelers Q2 2026 Earnings Call Transcript (July 17, 2026).</w:t>
      </w:r>
    </w:p>
    <w:p>
      <w:pPr>
        <w:pStyle w:val="Heading3"/>
      </w:pPr>
      <w:r>
        <w:rPr>
          <w:rFonts w:ascii="Calibri" w:hAnsi="Calibri"/>
          <w:b/>
          <w:color w:val="3B4259"/>
          <w:sz w:val="24"/>
        </w:rPr>
        <w:t>W.R. Berkley (WRB) — Q2 2026 Earnings Call (July 20, 2026)</w:t>
      </w:r>
    </w:p>
    <w:p>
      <w:r>
        <w:rPr>
          <w:rFonts w:ascii="Calibri" w:hAnsi="Calibri"/>
          <w:b/>
          <w:color w:val="525866"/>
          <w:sz w:val="22"/>
        </w:rPr>
        <w:t xml:space="preserve">Read-Through Signal: </w:t>
      </w:r>
      <w:r>
        <w:rPr>
          <w:rFonts w:ascii="Calibri" w:hAnsi="Calibri"/>
          <w:b/>
          <w:color w:val="30A46C"/>
          <w:sz w:val="22"/>
        </w:rPr>
        <w:t>Positive (with nuance on property market warnings)</w:t>
      </w:r>
    </w:p>
    <w:p>
      <w:pPr>
        <w:pStyle w:val="ListBullet"/>
        <w:ind w:left="360" w:hanging="360"/>
      </w:pPr>
      <w:r>
        <w:rPr>
          <w:rFonts w:ascii="Calibri" w:hAnsi="Calibri"/>
          <w:b/>
          <w:color w:val="525866"/>
          <w:sz w:val="22"/>
        </w:rPr>
        <w:t>Strong underwriting profitability:</w:t>
      </w:r>
      <w:r>
        <w:rPr>
          <w:rFonts w:ascii="Calibri" w:hAnsi="Calibri"/>
          <w:color w:val="525866"/>
          <w:sz w:val="22"/>
        </w:rPr>
        <w:t xml:space="preserve"> WRB reported operating EPS of $1.27/diluted share (+21% YoY), a calendar year combined ratio of 90%, and a current accident year combined ratio ex-cats of 88.1%. Pre-tax underwriting income was $318M and NII hit a record $419M. This is a positive read-through for AIG’s underwriting quality.</w:t>
      </w:r>
    </w:p>
    <w:p>
      <w:pPr>
        <w:pStyle w:val="ListBullet"/>
        <w:ind w:left="360" w:hanging="360"/>
      </w:pPr>
      <w:r>
        <w:rPr>
          <w:rFonts w:ascii="Calibri" w:hAnsi="Calibri"/>
          <w:b/>
          <w:color w:val="525866"/>
          <w:sz w:val="22"/>
        </w:rPr>
        <w:t>Benign cat losses:</w:t>
      </w:r>
      <w:r>
        <w:rPr>
          <w:rFonts w:ascii="Calibri" w:hAnsi="Calibri"/>
          <w:color w:val="525866"/>
          <w:sz w:val="22"/>
        </w:rPr>
        <w:t xml:space="preserve"> WRB’s Q2 2026 cat losses decreased $37M to $62M (2.0 loss ratio points vs. 3.2 points in the prior year quarter). This is a direct positive read-through for AIG’s combined ratio — a lighter cat quarter industry-wide supports AIG beating the 90.2% consensus.</w:t>
      </w:r>
    </w:p>
    <w:p>
      <w:pPr>
        <w:pStyle w:val="ListBullet"/>
        <w:ind w:left="360" w:hanging="360"/>
      </w:pPr>
      <w:r>
        <w:rPr>
          <w:rFonts w:ascii="Calibri" w:hAnsi="Calibri"/>
          <w:b/>
          <w:color w:val="525866"/>
          <w:sz w:val="22"/>
        </w:rPr>
        <w:t>Shared-and-layered property: “greatest stupidity” warning:</w:t>
      </w:r>
      <w:r>
        <w:rPr>
          <w:rFonts w:ascii="Calibri" w:hAnsi="Calibri"/>
          <w:color w:val="525866"/>
          <w:sz w:val="22"/>
        </w:rPr>
        <w:t xml:space="preserve"> CEO Rob Berkley described the shared-and-layered property market as the area where “the greatest stupidity can be found most easily,” warning that “Mother Nature is lulling the property market into a false sense of comfort” and that “those weighted towards certain lines such as property — it is going to get tougher before it gets easier.” This is a strong validation of AIG’s Lexington large account contraction strategy and a warning for peers who have not pulled back.</w:t>
      </w:r>
    </w:p>
    <w:p>
      <w:pPr>
        <w:pStyle w:val="ListBullet"/>
        <w:ind w:left="360" w:hanging="360"/>
      </w:pPr>
      <w:r>
        <w:rPr>
          <w:rFonts w:ascii="Calibri" w:hAnsi="Calibri"/>
          <w:b/>
          <w:color w:val="525866"/>
          <w:sz w:val="22"/>
        </w:rPr>
        <w:t>Casualty market “remains attractive” with isolated pockets of concern:</w:t>
      </w:r>
      <w:r>
        <w:rPr>
          <w:rFonts w:ascii="Calibri" w:hAnsi="Calibri"/>
          <w:color w:val="525866"/>
          <w:sz w:val="22"/>
        </w:rPr>
        <w:t xml:space="preserve"> WRB described the broader casualty market as attractive, but flagged habitational and liquor lines where rates are being cut 20–30% as “turning long-tail lines into short-tail lines.” North America Casualty pricing at AIG (retail Excess Casualty +14%, Lexington Casualty +8%) is well above these problem areas, suggesting AIG’s casualty book is in the attractive segment.</w:t>
      </w:r>
    </w:p>
    <w:p>
      <w:pPr>
        <w:pStyle w:val="ListBullet"/>
        <w:ind w:left="360" w:hanging="360"/>
      </w:pPr>
      <w:r>
        <w:rPr>
          <w:rFonts w:ascii="Calibri" w:hAnsi="Calibri"/>
          <w:b/>
          <w:color w:val="525866"/>
          <w:sz w:val="22"/>
        </w:rPr>
        <w:t>Reinsurance market “particularly concerning”:</w:t>
      </w:r>
      <w:r>
        <w:rPr>
          <w:rFonts w:ascii="Calibri" w:hAnsi="Calibri"/>
          <w:color w:val="525866"/>
          <w:sz w:val="22"/>
        </w:rPr>
        <w:t xml:space="preserve"> WRB noted that property reinsurance is “eroding rapidly” and casualty reinsurance “never enjoyed the bounce that property got,” leading WRB to shrink its reinsurance segment. AIG does not have a significant reinsurance segment, so this is a limited direct read-through, but it confirms the reinsurance market headwinds that AIG has navigated through its own reinsurance program changes.</w:t>
      </w:r>
    </w:p>
    <w:p>
      <w:pPr>
        <w:pStyle w:val="ListBullet"/>
        <w:ind w:left="360" w:hanging="360"/>
      </w:pPr>
      <w:r>
        <w:rPr>
          <w:rFonts w:ascii="Calibri" w:hAnsi="Calibri"/>
          <w:b/>
          <w:color w:val="525866"/>
          <w:sz w:val="22"/>
        </w:rPr>
        <w:t>Expense ratio discipline:</w:t>
      </w:r>
      <w:r>
        <w:rPr>
          <w:rFonts w:ascii="Calibri" w:hAnsi="Calibri"/>
          <w:color w:val="525866"/>
          <w:sz w:val="22"/>
        </w:rPr>
        <w:t xml:space="preserve"> WRB’s expense ratio was flat at 28.5% QoQ, below the 30% threshold. Management expressed confidence in keeping it at 30% or better. This is a positive read-through for AIG’s own expense ratio improvement trajectory toward &lt;30% by 2027.</w:t>
      </w:r>
    </w:p>
    <w:p>
      <w:pPr>
        <w:pStyle w:val="ListBullet"/>
        <w:ind w:left="360" w:hanging="360"/>
      </w:pPr>
      <w:r>
        <w:rPr>
          <w:rFonts w:ascii="Calibri" w:hAnsi="Calibri"/>
          <w:b/>
          <w:color w:val="525866"/>
          <w:sz w:val="22"/>
        </w:rPr>
        <w:t>AI efficiency gains:</w:t>
      </w:r>
      <w:r>
        <w:rPr>
          <w:rFonts w:ascii="Calibri" w:hAnsi="Calibri"/>
          <w:color w:val="525866"/>
          <w:sz w:val="22"/>
        </w:rPr>
        <w:t xml:space="preserve"> WRB reported 20%+ efficiency uplift from AI-powered underwriting workbenches and is targeting straight-through processing for claims under $5,000 (approximately 50% of all claims). Consistent with AIG’s own AI deployment narrative.</w:t>
      </w:r>
    </w:p>
    <w:p>
      <w:pPr>
        <w:pStyle w:val="ListBullet"/>
        <w:ind w:left="360" w:hanging="360"/>
      </w:pPr>
      <w:r>
        <w:rPr>
          <w:rFonts w:ascii="Calibri" w:hAnsi="Calibri"/>
          <w:b/>
          <w:color w:val="525866"/>
          <w:sz w:val="22"/>
        </w:rPr>
        <w:t>Early July top-line encouraging:</w:t>
      </w:r>
      <w:r>
        <w:rPr>
          <w:rFonts w:ascii="Calibri" w:hAnsi="Calibri"/>
          <w:color w:val="525866"/>
          <w:sz w:val="22"/>
        </w:rPr>
        <w:t xml:space="preserve"> CEO Berkley noted that “early returns in July, we’re reasonably encouraged as far as the top line,” suggesting Q3 2026 momentum is building. Positive read-through for AIG’s NPW growth trajectory in the back half of 2026.</w:t>
      </w:r>
    </w:p>
    <w:p>
      <w:r>
        <w:rPr>
          <w:rFonts w:ascii="Calibri" w:hAnsi="Calibri"/>
          <w:i/>
          <w:color w:val="525866"/>
          <w:sz w:val="22"/>
        </w:rPr>
        <w:t>Source: W.R. Berkley Q2 2026 Earnings Call Transcript (July 20, 2026).</w:t>
      </w:r>
    </w:p>
    <w:p>
      <w:pPr>
        <w:pStyle w:val="Heading3"/>
      </w:pPr>
      <w:r>
        <w:rPr>
          <w:rFonts w:ascii="Calibri" w:hAnsi="Calibri"/>
          <w:b/>
          <w:color w:val="3B4259"/>
          <w:sz w:val="24"/>
        </w:rPr>
        <w:t>CNA Financial (CNA) — Q2 2026 Earnings Call (August 2, 2026)</w:t>
      </w:r>
    </w:p>
    <w:p>
      <w:r>
        <w:rPr>
          <w:rFonts w:ascii="Calibri" w:hAnsi="Calibri"/>
          <w:b/>
          <w:color w:val="525866"/>
          <w:sz w:val="22"/>
        </w:rPr>
        <w:t xml:space="preserve">Read-Through Signal: </w:t>
      </w:r>
      <w:r>
        <w:rPr>
          <w:rFonts w:ascii="Calibri" w:hAnsi="Calibri"/>
          <w:b/>
          <w:color w:val="002FA7"/>
          <w:sz w:val="22"/>
        </w:rPr>
        <w:t>Mixed — Positive on cats/NII, Cautionary on loss ratios and social inflation</w:t>
      </w:r>
    </w:p>
    <w:p>
      <w:pPr>
        <w:pStyle w:val="ListBullet"/>
        <w:ind w:left="360" w:hanging="360"/>
      </w:pPr>
      <w:r>
        <w:rPr>
          <w:rFonts w:ascii="Calibri" w:hAnsi="Calibri"/>
          <w:b/>
          <w:color w:val="525866"/>
          <w:sz w:val="22"/>
        </w:rPr>
        <w:t>Elevated underlying loss ratio — key watch item for AIG:</w:t>
      </w:r>
      <w:r>
        <w:rPr>
          <w:rFonts w:ascii="Calibri" w:hAnsi="Calibri"/>
          <w:color w:val="525866"/>
          <w:sz w:val="22"/>
        </w:rPr>
        <w:t xml:space="preserve"> CNA’s P&amp;C underlying combined ratio was 94.2% (vs. 91.7% in the prior year quarter), with the underlying loss ratio at 64.1% — up 2.6 points YoY. CNA attributed this to a deliberate increase in loss ratio conservatism adopted in Q1 2026 and maintained in Q2. This is a cautionary read-through: if AIG has similarly increased its loss ratio conservatism (which management hinted at on the Q1 call regarding property attritional loss ratios), the Q2 combined ratio could come in above the 90.2% consensus.</w:t>
      </w:r>
    </w:p>
    <w:p>
      <w:pPr>
        <w:pStyle w:val="ListBullet"/>
        <w:ind w:left="360" w:hanging="360"/>
      </w:pPr>
      <w:r>
        <w:rPr>
          <w:rFonts w:ascii="Calibri" w:hAnsi="Calibri"/>
          <w:b/>
          <w:color w:val="525866"/>
          <w:sz w:val="22"/>
        </w:rPr>
        <w:t>Social inflation and legacy mass tort charges:</w:t>
      </w:r>
      <w:r>
        <w:rPr>
          <w:rFonts w:ascii="Calibri" w:hAnsi="Calibri"/>
          <w:color w:val="525866"/>
          <w:sz w:val="22"/>
        </w:rPr>
        <w:t xml:space="preserve"> CNA’s Corporate segment included a $77M after-tax charge for unfavorable prior period development “largely associated with legacy mass tort abuse claim activity and the ongoing effects of social inflation.” CNA noted it intends to “remain disciplined in its assumptions and recognize beneficial impacts only once they become more evident.” This is a cautionary read-through for AIG’s casualty reserve adequacy, though AIG has not flagged similar legacy mass tort exposure.</w:t>
      </w:r>
    </w:p>
    <w:p>
      <w:pPr>
        <w:pStyle w:val="ListBullet"/>
        <w:ind w:left="360" w:hanging="360"/>
      </w:pPr>
      <w:r>
        <w:rPr>
          <w:rFonts w:ascii="Calibri" w:hAnsi="Calibri"/>
          <w:b/>
          <w:color w:val="525866"/>
          <w:sz w:val="22"/>
        </w:rPr>
        <w:t>National accounts property — new business down 50%:</w:t>
      </w:r>
      <w:r>
        <w:rPr>
          <w:rFonts w:ascii="Calibri" w:hAnsi="Calibri"/>
          <w:color w:val="525866"/>
          <w:sz w:val="22"/>
        </w:rPr>
        <w:t xml:space="preserve"> CNA walked away from national accounts property business where appropriate price, terms, and conditions could not be met, with new business down 50% in that book. This is a strong validation of AIG’s Lexington large account contraction strategy and confirms that disciplined underwriters are exiting this market.</w:t>
      </w:r>
    </w:p>
    <w:p>
      <w:pPr>
        <w:pStyle w:val="ListBullet"/>
        <w:ind w:left="360" w:hanging="360"/>
      </w:pPr>
      <w:r>
        <w:rPr>
          <w:rFonts w:ascii="Calibri" w:hAnsi="Calibri"/>
          <w:b/>
          <w:color w:val="525866"/>
          <w:sz w:val="22"/>
        </w:rPr>
        <w:t>Benign catastrophe losses:</w:t>
      </w:r>
      <w:r>
        <w:rPr>
          <w:rFonts w:ascii="Calibri" w:hAnsi="Calibri"/>
          <w:color w:val="525866"/>
          <w:sz w:val="22"/>
        </w:rPr>
        <w:t xml:space="preserve"> CNA’s P&amp;C cat losses were $60M (2.3 combined ratio points), consistent with the prior year quarter and primarily driven by severe convective storm activity. This is a positive read-through for AIG’s Q2 cat experience.</w:t>
      </w:r>
    </w:p>
    <w:p>
      <w:pPr>
        <w:pStyle w:val="ListBullet"/>
        <w:ind w:left="360" w:hanging="360"/>
      </w:pPr>
      <w:r>
        <w:rPr>
          <w:rFonts w:ascii="Calibri" w:hAnsi="Calibri"/>
          <w:b/>
          <w:color w:val="525866"/>
          <w:sz w:val="22"/>
        </w:rPr>
        <w:t>Net investment income growing:</w:t>
      </w:r>
      <w:r>
        <w:rPr>
          <w:rFonts w:ascii="Calibri" w:hAnsi="Calibri"/>
          <w:color w:val="525866"/>
          <w:sz w:val="22"/>
        </w:rPr>
        <w:t xml:space="preserve"> CNA’s core income included NII of $701M (+6% YoY). For Q3 2026, CNA guided fixed income and other investment income to ~$575M, and for FY 2026 to ~$2.3B (+2% vs. FY 2025). This is a positive read-through for AIG’s NII trajectory, though AIG’s alt investment headwind is a company-specific drag in Q2.</w:t>
      </w:r>
    </w:p>
    <w:p>
      <w:pPr>
        <w:pStyle w:val="ListBullet"/>
        <w:ind w:left="360" w:hanging="360"/>
      </w:pPr>
      <w:r>
        <w:rPr>
          <w:rFonts w:ascii="Calibri" w:hAnsi="Calibri"/>
          <w:b/>
          <w:color w:val="525866"/>
          <w:sz w:val="22"/>
        </w:rPr>
        <w:t>Specialty lines growth:</w:t>
      </w:r>
      <w:r>
        <w:rPr>
          <w:rFonts w:ascii="Calibri" w:hAnsi="Calibri"/>
          <w:color w:val="525866"/>
          <w:sz w:val="22"/>
        </w:rPr>
        <w:t xml:space="preserve"> CNA’s Specialty segment grew net written premiums 5% with new business up 43% to $175M, driven by healthcare and financial lines where market conditions are more attractive. Rate increased 4% in Specialty. This is a positive read-through for AIG’s specialty lines growth.</w:t>
      </w:r>
    </w:p>
    <w:p>
      <w:pPr>
        <w:pStyle w:val="ListBullet"/>
        <w:ind w:left="360" w:hanging="360"/>
      </w:pPr>
      <w:r>
        <w:rPr>
          <w:rFonts w:ascii="Calibri" w:hAnsi="Calibri"/>
          <w:b/>
          <w:color w:val="525866"/>
          <w:sz w:val="22"/>
        </w:rPr>
        <w:t>Reinsurance renewals oversubscribed:</w:t>
      </w:r>
      <w:r>
        <w:rPr>
          <w:rFonts w:ascii="Calibri" w:hAnsi="Calibri"/>
          <w:color w:val="525866"/>
          <w:sz w:val="22"/>
        </w:rPr>
        <w:t xml:space="preserve"> CNA’s property reinsurance treaties renewed successfully in Q2 and were all oversubscribed, with favorable terms and conditions. CNA described June 1 renewals as “pleasing” with economics “continuing to be accretive.” This is a positive read-through for AIG’s own reinsurance program, which has been a key driver of underwriting improvement.</w:t>
      </w:r>
    </w:p>
    <w:p>
      <w:pPr>
        <w:pStyle w:val="ListBullet"/>
        <w:ind w:left="360" w:hanging="360"/>
      </w:pPr>
      <w:r>
        <w:rPr>
          <w:rFonts w:ascii="Calibri" w:hAnsi="Calibri"/>
          <w:b/>
          <w:color w:val="525866"/>
          <w:sz w:val="22"/>
        </w:rPr>
        <w:t>Expense ratio stable at ~30%:</w:t>
      </w:r>
      <w:r>
        <w:rPr>
          <w:rFonts w:ascii="Calibri" w:hAnsi="Calibri"/>
          <w:color w:val="525866"/>
          <w:sz w:val="22"/>
        </w:rPr>
        <w:t xml:space="preserve"> CNA’s expense ratio was 29.7%, consistent with the prior year quarter, and management guided to ~30% as a reasonable FY 2026 run-rate. This is a positive read-through for AIG’s expense ratio improvement trajectory, which is targeting &lt;30% by 2027 from a current level above 30%.</w:t>
      </w:r>
    </w:p>
    <w:p>
      <w:r>
        <w:rPr>
          <w:rFonts w:ascii="Calibri" w:hAnsi="Calibri"/>
          <w:i/>
          <w:color w:val="525866"/>
          <w:sz w:val="22"/>
        </w:rPr>
        <w:t>Source: CNA Financial Q2 2026 Earnings Call Transcript (August 2,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