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American International Group, Inc. (AIG)</w:t>
      </w:r>
    </w:p>
    <w:p>
      <w:pPr>
        <w:pStyle w:val="Heading2"/>
      </w:pPr>
      <w:r>
        <w:rPr>
          <w:rFonts w:ascii="Calibri" w:hAnsi="Calibri"/>
          <w:b/>
          <w:color w:val="3B4259"/>
          <w:sz w:val="28"/>
        </w:rPr>
        <w:t>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Ticker</w:t>
            </w:r>
          </w:p>
        </w:tc>
        <w:tc>
          <w:tcPr>
            <w:tcW w:type="dxa" w:w="4320"/>
          </w:tcPr>
          <w:p>
            <w:r>
              <w:rPr>
                <w:rFonts w:ascii="Calibri" w:hAnsi="Calibri"/>
                <w:sz w:val="22"/>
              </w:rPr>
              <w:t>AIG</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Results Release</w:t>
            </w:r>
          </w:p>
        </w:tc>
        <w:tc>
          <w:tcPr>
            <w:tcW w:type="dxa" w:w="4320"/>
          </w:tcPr>
          <w:p>
            <w:r>
              <w:rPr>
                <w:rFonts w:ascii="Calibri" w:hAnsi="Calibri"/>
                <w:sz w:val="22"/>
              </w:rPr>
              <w:t>After market close, August 6, 2026</w:t>
            </w:r>
          </w:p>
        </w:tc>
      </w:tr>
      <w:tr>
        <w:tc>
          <w:tcPr>
            <w:tcW w:type="dxa" w:w="4320"/>
          </w:tcPr>
          <w:p>
            <w:r>
              <w:rPr>
                <w:rFonts w:ascii="Calibri" w:hAnsi="Calibri"/>
                <w:b/>
                <w:sz w:val="22"/>
              </w:rPr>
              <w:t>Conference Call</w:t>
            </w:r>
          </w:p>
        </w:tc>
        <w:tc>
          <w:tcPr>
            <w:tcW w:type="dxa" w:w="4320"/>
          </w:tcPr>
          <w:p>
            <w:r>
              <w:rPr>
                <w:rFonts w:ascii="Calibri" w:hAnsi="Calibri"/>
                <w:sz w:val="22"/>
              </w:rPr>
              <w:t>August 7, 2026 at 8:30 a.m. ET</w:t>
            </w:r>
          </w:p>
        </w:tc>
      </w:tr>
      <w:tr>
        <w:tc>
          <w:tcPr>
            <w:tcW w:type="dxa" w:w="4320"/>
          </w:tcPr>
          <w:p>
            <w:r>
              <w:rPr>
                <w:rFonts w:ascii="Calibri" w:hAnsi="Calibri"/>
                <w:b/>
                <w:sz w:val="22"/>
              </w:rPr>
              <w:t>Prepared</w:t>
            </w:r>
          </w:p>
        </w:tc>
        <w:tc>
          <w:tcPr>
            <w:tcW w:type="dxa" w:w="4320"/>
          </w:tcPr>
          <w:p>
            <w:r>
              <w:rPr>
                <w:rFonts w:ascii="Calibri" w:hAnsi="Calibri"/>
                <w:sz w:val="22"/>
              </w:rPr>
              <w:t>August 5, 2026</w:t>
            </w:r>
          </w:p>
        </w:tc>
      </w:tr>
      <w:tr>
        <w:tc>
          <w:tcPr>
            <w:tcW w:type="dxa" w:w="4320"/>
          </w:tcPr>
          <w:p>
            <w:r>
              <w:rPr>
                <w:rFonts w:ascii="Calibri" w:hAnsi="Calibri"/>
                <w:b/>
                <w:sz w:val="22"/>
              </w:rPr>
              <w:t>Last Earnings</w:t>
            </w:r>
          </w:p>
        </w:tc>
        <w:tc>
          <w:tcPr>
            <w:tcW w:type="dxa" w:w="4320"/>
          </w:tcPr>
          <w:p>
            <w:r>
              <w:rPr>
                <w:rFonts w:ascii="Calibri" w:hAnsi="Calibri"/>
                <w:sz w:val="22"/>
              </w:rPr>
              <w:t>April 30, 2026 (Q1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is a manageable bar after a string of beats, but the single biggest swing factor is whether catastrophe losses from the Atlantic wind season and Middle East conflict remain contained, and whether alternative investment income recovers from its Q1 trough.</w:t>
      </w:r>
    </w:p>
    <w:p>
      <w:r>
        <w:rPr>
          <w:rFonts w:ascii="Calibri" w:hAnsi="Calibri"/>
          <w:color w:val="525866"/>
          <w:sz w:val="22"/>
        </w:rPr>
        <w:t xml:space="preserve">AIG heads into its Q2 2026 print with consensus expecting adjusted operating EPS of ~$1.90 — a bar that looks achievable given the company's Q1 momentum (actual $2.11, +80% YoY) but one that already embeds a meaningful step-down from Q1's exceptional underwriting income, which management itself flagged as unusually strong. </w:t>
      </w:r>
      <w:r>
        <w:rPr>
          <w:rFonts w:ascii="Calibri" w:hAnsi="Calibri"/>
          <w:b/>
          <w:color w:val="525866"/>
          <w:sz w:val="22"/>
        </w:rPr>
        <w:t>Guidance tone remains confident</w:t>
      </w:r>
      <w:r>
        <w:rPr>
          <w:rFonts w:ascii="Calibri" w:hAnsi="Calibri"/>
          <w:color w:val="525866"/>
          <w:sz w:val="22"/>
        </w:rPr>
        <w:t xml:space="preserve">: incoming CEO Eric Andersen (officially in seat since June 1) has explicitly reaffirmed all Investor Day targets — 20%+ operating EPS CAGR, 10–13% Core Operating ROE, GI expense ratio below 30% by 2027 — and the dividend was raised 11% to $0.50/share starting Q2, signaling balance-sheet conviction. </w:t>
      </w:r>
      <w:r>
        <w:rPr>
          <w:rFonts w:ascii="Calibri" w:hAnsi="Calibri"/>
          <w:b/>
          <w:color w:val="525866"/>
          <w:sz w:val="22"/>
        </w:rPr>
        <w:t>Estimate revisions have drifted modestly lower</w:t>
      </w:r>
      <w:r>
        <w:rPr>
          <w:rFonts w:ascii="Calibri" w:hAnsi="Calibri"/>
          <w:color w:val="525866"/>
          <w:sz w:val="22"/>
        </w:rPr>
        <w:t xml:space="preserve"> since the Q1 print (Q2 consensus EPS slipped from ~$1.91 to ~$1.90), consistent with management's own caution that Q2 alternative investment income would remain below long-term expectations due to Q1 public-market volatility, and that Other Operations NII would land in the $30–40M range — well below Q1's already-depressed $54M. </w:t>
      </w:r>
      <w:r>
        <w:rPr>
          <w:rFonts w:ascii="Calibri" w:hAnsi="Calibri"/>
          <w:b/>
          <w:color w:val="525866"/>
          <w:sz w:val="22"/>
        </w:rPr>
        <w:t>The stock has lagged the KIE sector ETF since the Q1 earnings date</w:t>
      </w:r>
      <w:r>
        <w:rPr>
          <w:rFonts w:ascii="Calibri" w:hAnsi="Calibri"/>
          <w:color w:val="525866"/>
          <w:sz w:val="22"/>
        </w:rPr>
        <w:t xml:space="preserve"> (AIG +1.7% vs. KIE +14.2% since May 1), suggesting the market has not fully priced in a beat and that multiple re-rating remains a potential catalyst. </w:t>
      </w:r>
      <w:r>
        <w:rPr>
          <w:rFonts w:ascii="Calibri" w:hAnsi="Calibri"/>
          <w:b/>
          <w:color w:val="525866"/>
          <w:sz w:val="22"/>
        </w:rPr>
        <w:t>The key wildcard</w:t>
      </w:r>
      <w:r>
        <w:rPr>
          <w:rFonts w:ascii="Calibri" w:hAnsi="Calibri"/>
          <w:color w:val="525866"/>
          <w:sz w:val="22"/>
        </w:rPr>
        <w:t xml:space="preserve"> is catastrophe losses: Q2 spans the early Atlantic hurricane season and the ongoing Middle East conflict (peers ACGL and CB both flagged incremental war/terrorism losses), and any material cat activity above the ~$180M Q1 level could pressure the combined ratio and offset underwriting discipline gains elsewhere.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manageable bar on EPS (~$1.90) and combined ratio (~90.2%), both of which AIG has beaten in each of the last four quarters. The combined ratio is the bigger swing factor — it sits right at the sub-90% Investor Day target boundary, meaning any cat or reserve surprise could flip the narrative.</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Guidance / Target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 Operating EPS ($)</w:t>
            </w:r>
          </w:p>
        </w:tc>
        <w:tc>
          <w:tcPr>
            <w:tcW w:type="dxa" w:w="1234"/>
          </w:tcPr>
          <w:p>
            <w:r>
              <w:rPr>
                <w:rFonts w:ascii="Calibri" w:hAnsi="Calibri"/>
                <w:sz w:val="22"/>
              </w:rPr>
              <w:t>2.11</w:t>
            </w:r>
          </w:p>
        </w:tc>
        <w:tc>
          <w:tcPr>
            <w:tcW w:type="dxa" w:w="1234"/>
          </w:tcPr>
          <w:p>
            <w:r>
              <w:rPr>
                <w:rFonts w:ascii="Calibri" w:hAnsi="Calibri"/>
                <w:sz w:val="22"/>
              </w:rPr>
              <w:t>1.81</w:t>
            </w:r>
          </w:p>
        </w:tc>
        <w:tc>
          <w:tcPr>
            <w:tcW w:type="dxa" w:w="1234"/>
          </w:tcPr>
          <w:p>
            <w:r>
              <w:rPr>
                <w:rFonts w:ascii="Calibri" w:hAnsi="Calibri"/>
                <w:sz w:val="22"/>
              </w:rPr>
              <w:t>1.90 ¹</w:t>
            </w:r>
          </w:p>
        </w:tc>
        <w:tc>
          <w:tcPr>
            <w:tcW w:type="dxa" w:w="1234"/>
          </w:tcPr>
          <w:p>
            <w:r>
              <w:rPr>
                <w:rFonts w:ascii="Calibri" w:hAnsi="Calibri"/>
                <w:sz w:val="22"/>
              </w:rPr>
              <w:t>+5.0% YoY</w:t>
            </w:r>
          </w:p>
        </w:tc>
        <w:tc>
          <w:tcPr>
            <w:tcW w:type="dxa" w:w="1234"/>
          </w:tcPr>
          <w:p>
            <w:r>
              <w:rPr>
                <w:rFonts w:ascii="Calibri" w:hAnsi="Calibri"/>
                <w:sz w:val="22"/>
              </w:rPr>
              <w:t>20%+ CAGR (Investor Day)</w:t>
            </w:r>
          </w:p>
        </w:tc>
        <w:tc>
          <w:tcPr>
            <w:tcW w:type="dxa" w:w="1234"/>
          </w:tcPr>
          <w:p>
            <w:r>
              <w:rPr>
                <w:rFonts w:ascii="Calibri" w:hAnsi="Calibri"/>
                <w:sz w:val="22"/>
              </w:rPr>
              <w:t>Tracking above CAGR path</w:t>
            </w:r>
          </w:p>
        </w:tc>
      </w:tr>
      <w:tr>
        <w:tc>
          <w:tcPr>
            <w:tcW w:type="dxa" w:w="1234"/>
          </w:tcPr>
          <w:p>
            <w:r>
              <w:rPr>
                <w:rFonts w:ascii="Calibri" w:hAnsi="Calibri"/>
                <w:sz w:val="22"/>
              </w:rPr>
              <w:t>Combined Ratio — GI (%)</w:t>
            </w:r>
          </w:p>
        </w:tc>
        <w:tc>
          <w:tcPr>
            <w:tcW w:type="dxa" w:w="1234"/>
          </w:tcPr>
          <w:p>
            <w:r>
              <w:rPr>
                <w:rFonts w:ascii="Calibri" w:hAnsi="Calibri"/>
                <w:sz w:val="22"/>
              </w:rPr>
              <w:t>87.2%</w:t>
            </w:r>
          </w:p>
        </w:tc>
        <w:tc>
          <w:tcPr>
            <w:tcW w:type="dxa" w:w="1234"/>
          </w:tcPr>
          <w:p>
            <w:r>
              <w:rPr>
                <w:rFonts w:ascii="Calibri" w:hAnsi="Calibri"/>
                <w:sz w:val="22"/>
              </w:rPr>
              <w:t>89.4%</w:t>
            </w:r>
          </w:p>
        </w:tc>
        <w:tc>
          <w:tcPr>
            <w:tcW w:type="dxa" w:w="1234"/>
          </w:tcPr>
          <w:p>
            <w:r>
              <w:rPr>
                <w:rFonts w:ascii="Calibri" w:hAnsi="Calibri"/>
                <w:sz w:val="22"/>
              </w:rPr>
              <w:t>90.2% ¹</w:t>
            </w:r>
          </w:p>
        </w:tc>
        <w:tc>
          <w:tcPr>
            <w:tcW w:type="dxa" w:w="1234"/>
          </w:tcPr>
          <w:p>
            <w:r>
              <w:rPr>
                <w:rFonts w:ascii="Calibri" w:hAnsi="Calibri"/>
                <w:sz w:val="22"/>
              </w:rPr>
              <w:t>+0.8 pts YoY (slight deterioration)</w:t>
            </w:r>
          </w:p>
        </w:tc>
        <w:tc>
          <w:tcPr>
            <w:tcW w:type="dxa" w:w="1234"/>
          </w:tcPr>
          <w:p>
            <w:r>
              <w:rPr>
                <w:rFonts w:ascii="Calibri" w:hAnsi="Calibri"/>
                <w:sz w:val="22"/>
              </w:rPr>
              <w:t>Sub-90% target (Investor Day)</w:t>
            </w:r>
          </w:p>
        </w:tc>
        <w:tc>
          <w:tcPr>
            <w:tcW w:type="dxa" w:w="1234"/>
          </w:tcPr>
          <w:p>
            <w:r>
              <w:rPr>
                <w:rFonts w:ascii="Calibri" w:hAnsi="Calibri"/>
                <w:sz w:val="22"/>
              </w:rPr>
              <w:t>Consensus sits just above target; key risk</w:t>
            </w:r>
          </w:p>
        </w:tc>
      </w:tr>
      <w:tr>
        <w:tc>
          <w:tcPr>
            <w:tcW w:type="dxa" w:w="1234"/>
          </w:tcPr>
          <w:p>
            <w:r>
              <w:rPr>
                <w:rFonts w:ascii="Calibri" w:hAnsi="Calibri"/>
                <w:sz w:val="22"/>
              </w:rPr>
              <w:t>Net Premiums Written — GI ($B)</w:t>
            </w:r>
          </w:p>
        </w:tc>
        <w:tc>
          <w:tcPr>
            <w:tcW w:type="dxa" w:w="1234"/>
          </w:tcPr>
          <w:p>
            <w:r>
              <w:rPr>
                <w:rFonts w:ascii="Calibri" w:hAnsi="Calibri"/>
                <w:sz w:val="22"/>
              </w:rPr>
              <w:t>$5.60B</w:t>
            </w:r>
          </w:p>
        </w:tc>
        <w:tc>
          <w:tcPr>
            <w:tcW w:type="dxa" w:w="1234"/>
          </w:tcPr>
          <w:p>
            <w:r>
              <w:rPr>
                <w:rFonts w:ascii="Calibri" w:hAnsi="Calibri"/>
                <w:sz w:val="22"/>
              </w:rPr>
              <w:t>$6.88B</w:t>
            </w:r>
          </w:p>
        </w:tc>
        <w:tc>
          <w:tcPr>
            <w:tcW w:type="dxa" w:w="1234"/>
          </w:tcPr>
          <w:p>
            <w:r>
              <w:rPr>
                <w:rFonts w:ascii="Calibri" w:hAnsi="Calibri"/>
                <w:sz w:val="22"/>
              </w:rPr>
              <w:t>$7.61B ¹</w:t>
            </w:r>
          </w:p>
        </w:tc>
        <w:tc>
          <w:tcPr>
            <w:tcW w:type="dxa" w:w="1234"/>
          </w:tcPr>
          <w:p>
            <w:r>
              <w:rPr>
                <w:rFonts w:ascii="Calibri" w:hAnsi="Calibri"/>
                <w:sz w:val="22"/>
              </w:rPr>
              <w:t>+10.6% YoY</w:t>
            </w:r>
          </w:p>
        </w:tc>
        <w:tc>
          <w:tcPr>
            <w:tcW w:type="dxa" w:w="1234"/>
          </w:tcPr>
          <w:p>
            <w:r>
              <w:rPr>
                <w:rFonts w:ascii="Calibri" w:hAnsi="Calibri"/>
                <w:sz w:val="22"/>
              </w:rPr>
              <w:t>Low-to-mid teens NPW growth (FY2026)</w:t>
            </w:r>
          </w:p>
        </w:tc>
        <w:tc>
          <w:tcPr>
            <w:tcW w:type="dxa" w:w="1234"/>
          </w:tcPr>
          <w:p>
            <w:r>
              <w:rPr>
                <w:rFonts w:ascii="Calibri" w:hAnsi="Calibri"/>
                <w:sz w:val="22"/>
              </w:rPr>
              <w:t>Tracking within guidance range</w:t>
            </w:r>
          </w:p>
        </w:tc>
      </w:tr>
      <w:tr>
        <w:tc>
          <w:tcPr>
            <w:tcW w:type="dxa" w:w="1234"/>
          </w:tcPr>
          <w:p>
            <w:r>
              <w:rPr>
                <w:rFonts w:ascii="Calibri" w:hAnsi="Calibri"/>
                <w:sz w:val="22"/>
              </w:rPr>
              <w:t>Net Investment Income — Operating ($M)</w:t>
            </w:r>
          </w:p>
        </w:tc>
        <w:tc>
          <w:tcPr>
            <w:tcW w:type="dxa" w:w="1234"/>
          </w:tcPr>
          <w:p>
            <w:r>
              <w:rPr>
                <w:rFonts w:ascii="Calibri" w:hAnsi="Calibri"/>
                <w:sz w:val="22"/>
              </w:rPr>
              <w:t>$864M</w:t>
            </w:r>
          </w:p>
        </w:tc>
        <w:tc>
          <w:tcPr>
            <w:tcW w:type="dxa" w:w="1234"/>
          </w:tcPr>
          <w:p>
            <w:r>
              <w:rPr>
                <w:rFonts w:ascii="Calibri" w:hAnsi="Calibri"/>
                <w:sz w:val="22"/>
              </w:rPr>
              <w:t>$959M</w:t>
            </w:r>
          </w:p>
        </w:tc>
        <w:tc>
          <w:tcPr>
            <w:tcW w:type="dxa" w:w="1234"/>
          </w:tcPr>
          <w:p>
            <w:r>
              <w:rPr>
                <w:rFonts w:ascii="Calibri" w:hAnsi="Calibri"/>
                <w:sz w:val="22"/>
              </w:rPr>
              <w:t>$917M ¹</w:t>
            </w:r>
          </w:p>
        </w:tc>
        <w:tc>
          <w:tcPr>
            <w:tcW w:type="dxa" w:w="1234"/>
          </w:tcPr>
          <w:p>
            <w:r>
              <w:rPr>
                <w:rFonts w:ascii="Calibri" w:hAnsi="Calibri"/>
                <w:sz w:val="22"/>
              </w:rPr>
              <w:t>-4.4% YoY</w:t>
            </w:r>
          </w:p>
        </w:tc>
        <w:tc>
          <w:tcPr>
            <w:tcW w:type="dxa" w:w="1234"/>
          </w:tcPr>
          <w:p>
            <w:r>
              <w:rPr>
                <w:rFonts w:ascii="Calibri" w:hAnsi="Calibri"/>
                <w:sz w:val="22"/>
              </w:rPr>
              <w:t>Other Ops NII: $30–40M (Q2 guide)</w:t>
            </w:r>
          </w:p>
        </w:tc>
        <w:tc>
          <w:tcPr>
            <w:tcW w:type="dxa" w:w="1234"/>
          </w:tcPr>
          <w:p>
            <w:r>
              <w:rPr>
                <w:rFonts w:ascii="Calibri" w:hAnsi="Calibri"/>
                <w:sz w:val="22"/>
              </w:rPr>
              <w:t>GI NII growing; Other Ops guided lower</w:t>
            </w:r>
          </w:p>
        </w:tc>
      </w:tr>
    </w:tbl>
    <w:p>
      <w:r>
        <w:rPr>
          <w:rFonts w:ascii="Calibri" w:hAnsi="Calibri"/>
          <w:color w:val="525866"/>
          <w:sz w:val="22"/>
        </w:rPr>
        <w:t>¹ Source: Visible Alpha Consensus and Actuals Data. Q2 2026 consensus as of August 5, 2026. Q1 2026 and Q2 2025 actuals from Visible Alpha. Combined ratio and NPW from Visible Alpha GI segment data; NII from Visible Alpha operating income detail.</w:t>
      </w:r>
    </w:p>
    <w:p>
      <w:pPr>
        <w:pStyle w:val="Heading3"/>
      </w:pPr>
      <w:r>
        <w:rPr>
          <w:rFonts w:ascii="Calibri" w:hAnsi="Calibri"/>
          <w:b/>
          <w:color w:val="3B4259"/>
          <w:sz w:val="24"/>
        </w:rPr>
        <w:t>Table 2 — Beat / Miss History (Last 8 Quarters, Top 2 KPIs)</w:t>
      </w:r>
    </w:p>
    <w:p>
      <w:pPr>
        <w:pStyle w:val="Heading4"/>
      </w:pPr>
      <w:r>
        <w:rPr>
          <w:rFonts w:ascii="Calibri" w:hAnsi="Calibri"/>
          <w:b/>
          <w:color w:val="3B4259"/>
          <w:sz w:val="22"/>
        </w:rPr>
        <w:t>KPI 1: Adjusted Operating EPS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$2.11</w:t>
            </w:r>
          </w:p>
        </w:tc>
        <w:tc>
          <w:tcPr>
            <w:tcW w:type="dxa" w:w="1728"/>
          </w:tcPr>
          <w:p>
            <w:r>
              <w:rPr>
                <w:rFonts w:ascii="Calibri" w:hAnsi="Calibri"/>
                <w:sz w:val="22"/>
              </w:rPr>
              <w:t>$1.88</w:t>
            </w:r>
          </w:p>
        </w:tc>
        <w:tc>
          <w:tcPr>
            <w:tcW w:type="dxa" w:w="1728"/>
          </w:tcPr>
          <w:p>
            <w:r>
              <w:rPr>
                <w:rFonts w:ascii="Calibri" w:hAnsi="Calibri"/>
                <w:b/>
                <w:color w:val="30A46C"/>
                <w:sz w:val="22"/>
              </w:rPr>
              <w:t>+12.2%</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$1.96</w:t>
            </w:r>
          </w:p>
        </w:tc>
        <w:tc>
          <w:tcPr>
            <w:tcW w:type="dxa" w:w="1728"/>
          </w:tcPr>
          <w:p>
            <w:r>
              <w:rPr>
                <w:rFonts w:ascii="Calibri" w:hAnsi="Calibri"/>
                <w:sz w:val="22"/>
              </w:rPr>
              <w:t>$1.90</w:t>
            </w:r>
          </w:p>
        </w:tc>
        <w:tc>
          <w:tcPr>
            <w:tcW w:type="dxa" w:w="1728"/>
          </w:tcPr>
          <w:p>
            <w:r>
              <w:rPr>
                <w:rFonts w:ascii="Calibri" w:hAnsi="Calibri"/>
                <w:b/>
                <w:color w:val="30A46C"/>
                <w:sz w:val="22"/>
              </w:rPr>
              <w:t>+3.2%</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$2.20</w:t>
            </w:r>
          </w:p>
        </w:tc>
        <w:tc>
          <w:tcPr>
            <w:tcW w:type="dxa" w:w="1728"/>
          </w:tcPr>
          <w:p>
            <w:r>
              <w:rPr>
                <w:rFonts w:ascii="Calibri" w:hAnsi="Calibri"/>
                <w:sz w:val="22"/>
              </w:rPr>
              <w:t>$1.73</w:t>
            </w:r>
          </w:p>
        </w:tc>
        <w:tc>
          <w:tcPr>
            <w:tcW w:type="dxa" w:w="1728"/>
          </w:tcPr>
          <w:p>
            <w:r>
              <w:rPr>
                <w:rFonts w:ascii="Calibri" w:hAnsi="Calibri"/>
                <w:b/>
                <w:color w:val="30A46C"/>
                <w:sz w:val="22"/>
              </w:rPr>
              <w:t>+27.2%</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$1.81</w:t>
            </w:r>
          </w:p>
        </w:tc>
        <w:tc>
          <w:tcPr>
            <w:tcW w:type="dxa" w:w="1728"/>
          </w:tcPr>
          <w:p>
            <w:r>
              <w:rPr>
                <w:rFonts w:ascii="Calibri" w:hAnsi="Calibri"/>
                <w:sz w:val="22"/>
              </w:rPr>
              <w:t>$1.59</w:t>
            </w:r>
          </w:p>
        </w:tc>
        <w:tc>
          <w:tcPr>
            <w:tcW w:type="dxa" w:w="1728"/>
          </w:tcPr>
          <w:p>
            <w:r>
              <w:rPr>
                <w:rFonts w:ascii="Calibri" w:hAnsi="Calibri"/>
                <w:b/>
                <w:color w:val="30A46C"/>
                <w:sz w:val="22"/>
              </w:rPr>
              <w:t>+13.8%</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$1.17</w:t>
            </w:r>
          </w:p>
        </w:tc>
        <w:tc>
          <w:tcPr>
            <w:tcW w:type="dxa" w:w="1728"/>
          </w:tcPr>
          <w:p>
            <w:r>
              <w:rPr>
                <w:rFonts w:ascii="Calibri" w:hAnsi="Calibri"/>
                <w:sz w:val="22"/>
              </w:rPr>
              <w:t>$0.98</w:t>
            </w:r>
          </w:p>
        </w:tc>
        <w:tc>
          <w:tcPr>
            <w:tcW w:type="dxa" w:w="1728"/>
          </w:tcPr>
          <w:p>
            <w:r>
              <w:rPr>
                <w:rFonts w:ascii="Calibri" w:hAnsi="Calibri"/>
                <w:b/>
                <w:color w:val="30A46C"/>
                <w:sz w:val="22"/>
              </w:rPr>
              <w:t>+19.4%</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$1.30</w:t>
            </w:r>
          </w:p>
        </w:tc>
        <w:tc>
          <w:tcPr>
            <w:tcW w:type="dxa" w:w="1728"/>
          </w:tcPr>
          <w:p>
            <w:r>
              <w:rPr>
                <w:rFonts w:ascii="Calibri" w:hAnsi="Calibri"/>
                <w:sz w:val="22"/>
              </w:rPr>
              <w:t>$1.23</w:t>
            </w:r>
          </w:p>
        </w:tc>
        <w:tc>
          <w:tcPr>
            <w:tcW w:type="dxa" w:w="1728"/>
          </w:tcPr>
          <w:p>
            <w:r>
              <w:rPr>
                <w:rFonts w:ascii="Calibri" w:hAnsi="Calibri"/>
                <w:b/>
                <w:color w:val="30A46C"/>
                <w:sz w:val="22"/>
              </w:rPr>
              <w:t>+5.7%</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$1.24</w:t>
            </w:r>
          </w:p>
        </w:tc>
        <w:tc>
          <w:tcPr>
            <w:tcW w:type="dxa" w:w="1728"/>
          </w:tcPr>
          <w:p>
            <w:r>
              <w:rPr>
                <w:rFonts w:ascii="Calibri" w:hAnsi="Calibri"/>
                <w:sz w:val="22"/>
              </w:rPr>
              <w:t>$1.10</w:t>
            </w:r>
          </w:p>
        </w:tc>
        <w:tc>
          <w:tcPr>
            <w:tcW w:type="dxa" w:w="1728"/>
          </w:tcPr>
          <w:p>
            <w:r>
              <w:rPr>
                <w:rFonts w:ascii="Calibri" w:hAnsi="Calibri"/>
                <w:b/>
                <w:color w:val="30A46C"/>
                <w:sz w:val="22"/>
              </w:rPr>
              <w:t>+12.7%</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KPI 2: Combined Ratio — General Insurance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(pts)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87.2%</w:t>
            </w:r>
          </w:p>
        </w:tc>
        <w:tc>
          <w:tcPr>
            <w:tcW w:type="dxa" w:w="1728"/>
          </w:tcPr>
          <w:p>
            <w:r>
              <w:rPr>
                <w:rFonts w:ascii="Calibri" w:hAnsi="Calibri"/>
                <w:sz w:val="22"/>
              </w:rPr>
              <w:t>90.8%</w:t>
            </w:r>
          </w:p>
        </w:tc>
        <w:tc>
          <w:tcPr>
            <w:tcW w:type="dxa" w:w="1728"/>
          </w:tcPr>
          <w:p>
            <w:r>
              <w:rPr>
                <w:rFonts w:ascii="Calibri" w:hAnsi="Calibri"/>
                <w:b/>
                <w:color w:val="30A46C"/>
                <w:sz w:val="22"/>
              </w:rPr>
              <w:t>−3.6 pts (better)</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88.8%</w:t>
            </w:r>
          </w:p>
        </w:tc>
        <w:tc>
          <w:tcPr>
            <w:tcW w:type="dxa" w:w="1728"/>
          </w:tcPr>
          <w:p>
            <w:r>
              <w:rPr>
                <w:rFonts w:ascii="Calibri" w:hAnsi="Calibri"/>
                <w:sz w:val="22"/>
              </w:rPr>
              <w:t>89.9%</w:t>
            </w:r>
          </w:p>
        </w:tc>
        <w:tc>
          <w:tcPr>
            <w:tcW w:type="dxa" w:w="1728"/>
          </w:tcPr>
          <w:p>
            <w:r>
              <w:rPr>
                <w:rFonts w:ascii="Calibri" w:hAnsi="Calibri"/>
                <w:b/>
                <w:color w:val="30A46C"/>
                <w:sz w:val="22"/>
              </w:rPr>
              <w:t>−1.1 pts (better)</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86.9%</w:t>
            </w:r>
          </w:p>
        </w:tc>
        <w:tc>
          <w:tcPr>
            <w:tcW w:type="dxa" w:w="1728"/>
          </w:tcPr>
          <w:p>
            <w:r>
              <w:rPr>
                <w:rFonts w:ascii="Calibri" w:hAnsi="Calibri"/>
                <w:sz w:val="22"/>
              </w:rPr>
              <w:t>91.0%</w:t>
            </w:r>
          </w:p>
        </w:tc>
        <w:tc>
          <w:tcPr>
            <w:tcW w:type="dxa" w:w="1728"/>
          </w:tcPr>
          <w:p>
            <w:r>
              <w:rPr>
                <w:rFonts w:ascii="Calibri" w:hAnsi="Calibri"/>
                <w:b/>
                <w:color w:val="30A46C"/>
                <w:sz w:val="22"/>
              </w:rPr>
              <w:t>−4.1 pts (better)</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89.4%</w:t>
            </w:r>
          </w:p>
        </w:tc>
        <w:tc>
          <w:tcPr>
            <w:tcW w:type="dxa" w:w="1728"/>
          </w:tcPr>
          <w:p>
            <w:r>
              <w:rPr>
                <w:rFonts w:ascii="Calibri" w:hAnsi="Calibri"/>
                <w:sz w:val="22"/>
              </w:rPr>
              <w:t>90.5%</w:t>
            </w:r>
          </w:p>
        </w:tc>
        <w:tc>
          <w:tcPr>
            <w:tcW w:type="dxa" w:w="1728"/>
          </w:tcPr>
          <w:p>
            <w:r>
              <w:rPr>
                <w:rFonts w:ascii="Calibri" w:hAnsi="Calibri"/>
                <w:b/>
                <w:color w:val="30A46C"/>
                <w:sz w:val="22"/>
              </w:rPr>
              <w:t>−1.1 pts (better)</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95.8%</w:t>
            </w:r>
          </w:p>
        </w:tc>
        <w:tc>
          <w:tcPr>
            <w:tcW w:type="dxa" w:w="1728"/>
          </w:tcPr>
          <w:p>
            <w:r>
              <w:rPr>
                <w:rFonts w:ascii="Calibri" w:hAnsi="Calibri"/>
                <w:sz w:val="22"/>
              </w:rPr>
              <w:t>98.1%</w:t>
            </w:r>
          </w:p>
        </w:tc>
        <w:tc>
          <w:tcPr>
            <w:tcW w:type="dxa" w:w="1728"/>
          </w:tcPr>
          <w:p>
            <w:r>
              <w:rPr>
                <w:rFonts w:ascii="Calibri" w:hAnsi="Calibri"/>
                <w:b/>
                <w:color w:val="30A46C"/>
                <w:sz w:val="22"/>
              </w:rPr>
              <w:t>−2.3 pts (better)</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92.4%</w:t>
            </w:r>
          </w:p>
        </w:tc>
        <w:tc>
          <w:tcPr>
            <w:tcW w:type="dxa" w:w="1728"/>
          </w:tcPr>
          <w:p>
            <w:r>
              <w:rPr>
                <w:rFonts w:ascii="Calibri" w:hAnsi="Calibri"/>
                <w:sz w:val="22"/>
              </w:rPr>
              <w:t>93.3%</w:t>
            </w:r>
          </w:p>
        </w:tc>
        <w:tc>
          <w:tcPr>
            <w:tcW w:type="dxa" w:w="1728"/>
          </w:tcPr>
          <w:p>
            <w:r>
              <w:rPr>
                <w:rFonts w:ascii="Calibri" w:hAnsi="Calibri"/>
                <w:b/>
                <w:color w:val="30A46C"/>
                <w:sz w:val="22"/>
              </w:rPr>
              <w:t>−0.9 pts (better)</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92.7%</w:t>
            </w:r>
          </w:p>
        </w:tc>
        <w:tc>
          <w:tcPr>
            <w:tcW w:type="dxa" w:w="1728"/>
          </w:tcPr>
          <w:p>
            <w:r>
              <w:rPr>
                <w:rFonts w:ascii="Calibri" w:hAnsi="Calibri"/>
                <w:sz w:val="22"/>
              </w:rPr>
              <w:t>94.5%</w:t>
            </w:r>
          </w:p>
        </w:tc>
        <w:tc>
          <w:tcPr>
            <w:tcW w:type="dxa" w:w="1728"/>
          </w:tcPr>
          <w:p>
            <w:r>
              <w:rPr>
                <w:rFonts w:ascii="Calibri" w:hAnsi="Calibri"/>
                <w:b/>
                <w:color w:val="30A46C"/>
                <w:sz w:val="22"/>
              </w:rPr>
              <w:t>−1.8 pts (better)</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AIG has beaten consensus on both EPS and combined ratio in every quarter with available data over the trailing seven quarters, with particularly large beats in Q3 2025 and Q1 2026 driven by lower-than-expected catastrophe losses and favorable prior-year reserve development.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is unchanged since the Q1 2026 earnings call — all Investor Day targets reaffirmed by incoming CEO Eric Andersen. The only post-earnings update was the 11% dividend increase to $0.50/share (effective Q2), which signals management confidence in the earnings trajectory. Tone is one of continuity and execution, not strategic pivot.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Operating EPS CAGR (through 2027)</w:t>
            </w:r>
          </w:p>
        </w:tc>
        <w:tc>
          <w:tcPr>
            <w:tcW w:type="dxa" w:w="1728"/>
          </w:tcPr>
          <w:p>
            <w:r>
              <w:rPr>
                <w:rFonts w:ascii="Calibri" w:hAnsi="Calibri"/>
                <w:sz w:val="22"/>
              </w:rPr>
              <w:t>20%+ CAGR (Investor Day target)</w:t>
            </w:r>
          </w:p>
        </w:tc>
        <w:tc>
          <w:tcPr>
            <w:tcW w:type="dxa" w:w="1728"/>
          </w:tcPr>
          <w:p>
            <w:r>
              <w:rPr>
                <w:rFonts w:ascii="Calibri" w:hAnsi="Calibri"/>
                <w:sz w:val="22"/>
              </w:rPr>
              <w:t>—</w:t>
            </w:r>
          </w:p>
        </w:tc>
        <w:tc>
          <w:tcPr>
            <w:tcW w:type="dxa" w:w="1728"/>
          </w:tcPr>
          <w:p>
            <w:r>
              <w:rPr>
                <w:rFonts w:ascii="Calibri" w:hAnsi="Calibri"/>
                <w:sz w:val="22"/>
              </w:rPr>
              <w:t>FY2026: $7.98; FY2027: $8.87 ¹</w:t>
            </w:r>
          </w:p>
        </w:tc>
        <w:tc>
          <w:tcPr>
            <w:tcW w:type="dxa" w:w="1728"/>
          </w:tcPr>
          <w:p>
            <w:r>
              <w:rPr>
                <w:rFonts w:ascii="Calibri" w:hAnsi="Calibri"/>
                <w:sz w:val="22"/>
              </w:rPr>
              <w:t>Unchanged; reaffirmed by Eric Andersen on Q1 call</w:t>
            </w:r>
          </w:p>
        </w:tc>
      </w:tr>
      <w:tr>
        <w:tc>
          <w:tcPr>
            <w:tcW w:type="dxa" w:w="1728"/>
          </w:tcPr>
          <w:p>
            <w:r>
              <w:rPr>
                <w:rFonts w:ascii="Calibri" w:hAnsi="Calibri"/>
                <w:sz w:val="22"/>
              </w:rPr>
              <w:t>Core Operating ROE</w:t>
            </w:r>
          </w:p>
        </w:tc>
        <w:tc>
          <w:tcPr>
            <w:tcW w:type="dxa" w:w="1728"/>
          </w:tcPr>
          <w:p>
            <w:r>
              <w:rPr>
                <w:rFonts w:ascii="Calibri" w:hAnsi="Calibri"/>
                <w:sz w:val="22"/>
              </w:rPr>
              <w:t>10%–13% (Investor Day target)</w:t>
            </w:r>
          </w:p>
        </w:tc>
        <w:tc>
          <w:tcPr>
            <w:tcW w:type="dxa" w:w="1728"/>
          </w:tcPr>
          <w:p>
            <w:r>
              <w:rPr>
                <w:rFonts w:ascii="Calibri" w:hAnsi="Calibri"/>
                <w:sz w:val="22"/>
              </w:rPr>
              <w:t>—</w:t>
            </w:r>
          </w:p>
        </w:tc>
        <w:tc>
          <w:tcPr>
            <w:tcW w:type="dxa" w:w="1728"/>
          </w:tcPr>
          <w:p>
            <w:r>
              <w:rPr>
                <w:rFonts w:ascii="Calibri" w:hAnsi="Calibri"/>
                <w:sz w:val="22"/>
              </w:rPr>
              <w:t>Q1 2026 actual: 12.2%</w:t>
            </w:r>
          </w:p>
        </w:tc>
        <w:tc>
          <w:tcPr>
            <w:tcW w:type="dxa" w:w="1728"/>
          </w:tcPr>
          <w:p>
            <w:r>
              <w:rPr>
                <w:rFonts w:ascii="Calibri" w:hAnsi="Calibri"/>
                <w:sz w:val="22"/>
              </w:rPr>
              <w:t>Unchanged; Q1 came in at midpoint of range</w:t>
            </w:r>
          </w:p>
        </w:tc>
      </w:tr>
      <w:tr>
        <w:tc>
          <w:tcPr>
            <w:tcW w:type="dxa" w:w="1728"/>
          </w:tcPr>
          <w:p>
            <w:r>
              <w:rPr>
                <w:rFonts w:ascii="Calibri" w:hAnsi="Calibri"/>
                <w:sz w:val="22"/>
              </w:rPr>
              <w:t>GI Expense Ratio</w:t>
            </w:r>
          </w:p>
        </w:tc>
        <w:tc>
          <w:tcPr>
            <w:tcW w:type="dxa" w:w="1728"/>
          </w:tcPr>
          <w:p>
            <w:r>
              <w:rPr>
                <w:rFonts w:ascii="Calibri" w:hAnsi="Calibri"/>
                <w:sz w:val="22"/>
              </w:rPr>
              <w:t>Below 30% by 2027</w:t>
            </w:r>
          </w:p>
        </w:tc>
        <w:tc>
          <w:tcPr>
            <w:tcW w:type="dxa" w:w="1728"/>
          </w:tcPr>
          <w:p>
            <w:r>
              <w:rPr>
                <w:rFonts w:ascii="Calibri" w:hAnsi="Calibri"/>
                <w:sz w:val="22"/>
              </w:rPr>
              <w:t>—</w:t>
            </w:r>
          </w:p>
        </w:tc>
        <w:tc>
          <w:tcPr>
            <w:tcW w:type="dxa" w:w="1728"/>
          </w:tcPr>
          <w:p>
            <w:r>
              <w:rPr>
                <w:rFonts w:ascii="Calibri" w:hAnsi="Calibri"/>
                <w:sz w:val="22"/>
              </w:rPr>
              <w:t>Q1 2026 actual: 29.3%</w:t>
            </w:r>
          </w:p>
        </w:tc>
        <w:tc>
          <w:tcPr>
            <w:tcW w:type="dxa" w:w="1728"/>
          </w:tcPr>
          <w:p>
            <w:r>
              <w:rPr>
                <w:rFonts w:ascii="Calibri" w:hAnsi="Calibri"/>
                <w:sz w:val="22"/>
              </w:rPr>
              <w:t>Unchanged; Q1 already at 29.3%, ahead of pace</w:t>
            </w:r>
          </w:p>
        </w:tc>
      </w:tr>
      <w:tr>
        <w:tc>
          <w:tcPr>
            <w:tcW w:type="dxa" w:w="1728"/>
          </w:tcPr>
          <w:p>
            <w:r>
              <w:rPr>
                <w:rFonts w:ascii="Calibri" w:hAnsi="Calibri"/>
                <w:sz w:val="22"/>
              </w:rPr>
              <w:t>GI Net Premiums Written Growth (FY2026)</w:t>
            </w:r>
          </w:p>
        </w:tc>
        <w:tc>
          <w:tcPr>
            <w:tcW w:type="dxa" w:w="1728"/>
          </w:tcPr>
          <w:p>
            <w:r>
              <w:rPr>
                <w:rFonts w:ascii="Calibri" w:hAnsi="Calibri"/>
                <w:sz w:val="22"/>
              </w:rPr>
              <w:t>Low-to-mid teens growth</w:t>
            </w:r>
          </w:p>
        </w:tc>
        <w:tc>
          <w:tcPr>
            <w:tcW w:type="dxa" w:w="1728"/>
          </w:tcPr>
          <w:p>
            <w:r>
              <w:rPr>
                <w:rFonts w:ascii="Calibri" w:hAnsi="Calibri"/>
                <w:sz w:val="22"/>
              </w:rPr>
              <w:t>—</w:t>
            </w:r>
          </w:p>
        </w:tc>
        <w:tc>
          <w:tcPr>
            <w:tcW w:type="dxa" w:w="1728"/>
          </w:tcPr>
          <w:p>
            <w:r>
              <w:rPr>
                <w:rFonts w:ascii="Calibri" w:hAnsi="Calibri"/>
                <w:sz w:val="22"/>
              </w:rPr>
              <w:t>FY2026 consensus: $26.8B ¹</w:t>
            </w:r>
          </w:p>
        </w:tc>
        <w:tc>
          <w:tcPr>
            <w:tcW w:type="dxa" w:w="1728"/>
          </w:tcPr>
          <w:p>
            <w:r>
              <w:rPr>
                <w:rFonts w:ascii="Calibri" w:hAnsi="Calibri"/>
                <w:sz w:val="22"/>
              </w:rPr>
              <w:t>Unchanged; Q1 NPW +18% YoY on constant dollar basis</w:t>
            </w:r>
          </w:p>
        </w:tc>
      </w:tr>
      <w:tr>
        <w:tc>
          <w:tcPr>
            <w:tcW w:type="dxa" w:w="1728"/>
          </w:tcPr>
          <w:p>
            <w:r>
              <w:rPr>
                <w:rFonts w:ascii="Calibri" w:hAnsi="Calibri"/>
                <w:sz w:val="22"/>
              </w:rPr>
              <w:t>Global Personal Insurance Combined Ratio</w:t>
            </w:r>
          </w:p>
        </w:tc>
        <w:tc>
          <w:tcPr>
            <w:tcW w:type="dxa" w:w="1728"/>
          </w:tcPr>
          <w:p>
            <w:r>
              <w:rPr>
                <w:rFonts w:ascii="Calibri" w:hAnsi="Calibri"/>
                <w:sz w:val="22"/>
              </w:rPr>
              <w:t>94% by 2027</w:t>
            </w:r>
          </w:p>
        </w:tc>
        <w:tc>
          <w:tcPr>
            <w:tcW w:type="dxa" w:w="1728"/>
          </w:tcPr>
          <w:p>
            <w:r>
              <w:rPr>
                <w:rFonts w:ascii="Calibri" w:hAnsi="Calibri"/>
                <w:sz w:val="22"/>
              </w:rPr>
              <w:t>—</w:t>
            </w:r>
          </w:p>
        </w:tc>
        <w:tc>
          <w:tcPr>
            <w:tcW w:type="dxa" w:w="1728"/>
          </w:tcPr>
          <w:p>
            <w:r>
              <w:rPr>
                <w:rFonts w:ascii="Calibri" w:hAnsi="Calibri"/>
                <w:sz w:val="22"/>
              </w:rPr>
              <w:t>Q1 2026 actual: 89.4%</w:t>
            </w:r>
          </w:p>
        </w:tc>
        <w:tc>
          <w:tcPr>
            <w:tcW w:type="dxa" w:w="1728"/>
          </w:tcPr>
          <w:p>
            <w:r>
              <w:rPr>
                <w:rFonts w:ascii="Calibri" w:hAnsi="Calibri"/>
                <w:sz w:val="22"/>
              </w:rPr>
              <w:t>Unchanged; Q1 well ahead of target</w:t>
            </w:r>
          </w:p>
        </w:tc>
      </w:tr>
      <w:tr>
        <w:tc>
          <w:tcPr>
            <w:tcW w:type="dxa" w:w="1728"/>
          </w:tcPr>
          <w:p>
            <w:r>
              <w:rPr>
                <w:rFonts w:ascii="Calibri" w:hAnsi="Calibri"/>
                <w:sz w:val="22"/>
              </w:rPr>
              <w:t>Other Operations NII (Q2 2026 specific)</w:t>
            </w:r>
          </w:p>
        </w:tc>
        <w:tc>
          <w:tcPr>
            <w:tcW w:type="dxa" w:w="1728"/>
          </w:tcPr>
          <w:p>
            <w:r>
              <w:rPr>
                <w:rFonts w:ascii="Calibri" w:hAnsi="Calibri"/>
                <w:sz w:val="22"/>
              </w:rPr>
              <w:t>$30–40M (Q2 2026 guidance)</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Specific Q2 guide; below Q1 actual of $54M; driven by lower parent liquidity and Corebridge dividends</w:t>
            </w:r>
          </w:p>
        </w:tc>
      </w:tr>
      <w:tr>
        <w:tc>
          <w:tcPr>
            <w:tcW w:type="dxa" w:w="1728"/>
          </w:tcPr>
          <w:p>
            <w:r>
              <w:rPr>
                <w:rFonts w:ascii="Calibri" w:hAnsi="Calibri"/>
                <w:sz w:val="22"/>
              </w:rPr>
              <w:t>Alternative Investment Returns (Q2 2026)</w:t>
            </w:r>
          </w:p>
        </w:tc>
        <w:tc>
          <w:tcPr>
            <w:tcW w:type="dxa" w:w="1728"/>
          </w:tcPr>
          <w:p>
            <w:r>
              <w:rPr>
                <w:rFonts w:ascii="Calibri" w:hAnsi="Calibri"/>
                <w:sz w:val="22"/>
              </w:rPr>
              <w:t>Below long-term expectations (Q2 2026 guidance)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Explicit Q2 caution; Q1 alt income was only $6M vs. $43M prior year</w:t>
            </w:r>
          </w:p>
        </w:tc>
      </w:tr>
      <w:tr>
        <w:tc>
          <w:tcPr>
            <w:tcW w:type="dxa" w:w="1728"/>
          </w:tcPr>
          <w:p>
            <w:r>
              <w:rPr>
                <w:rFonts w:ascii="Calibri" w:hAnsi="Calibri"/>
                <w:sz w:val="22"/>
              </w:rPr>
              <w:t>Quarterly Dividend</w:t>
            </w:r>
          </w:p>
        </w:tc>
        <w:tc>
          <w:tcPr>
            <w:tcW w:type="dxa" w:w="1728"/>
          </w:tcPr>
          <w:p>
            <w:r>
              <w:rPr>
                <w:rFonts w:ascii="Calibri" w:hAnsi="Calibri"/>
                <w:sz w:val="22"/>
              </w:rPr>
              <w:t>$0.50/share (effective Q2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Raised 11% at Q1 earnings; fourth consecutive year of double-digit increase</w:t>
            </w:r>
          </w:p>
        </w:tc>
      </w:tr>
      <w:tr>
        <w:tc>
          <w:tcPr>
            <w:tcW w:type="dxa" w:w="1728"/>
          </w:tcPr>
          <w:p>
            <w:r>
              <w:rPr>
                <w:rFonts w:ascii="Calibri" w:hAnsi="Calibri"/>
                <w:sz w:val="22"/>
              </w:rPr>
              <w:t>Corebridge Exit</w:t>
            </w:r>
          </w:p>
        </w:tc>
        <w:tc>
          <w:tcPr>
            <w:tcW w:type="dxa" w:w="1728"/>
          </w:tcPr>
          <w:p>
            <w:r>
              <w:rPr>
                <w:rFonts w:ascii="Calibri" w:hAnsi="Calibri"/>
                <w:sz w:val="22"/>
              </w:rPr>
              <w:t>Full exit expected in 2026; proceeds primarily for buybacks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stake at ~5.6% at Q1 end</w:t>
            </w:r>
          </w:p>
        </w:tc>
      </w:tr>
    </w:tbl>
    <w:p>
      <w:r>
        <w:rPr>
          <w:rFonts w:ascii="Calibri" w:hAnsi="Calibri"/>
          <w:color w:val="525866"/>
          <w:sz w:val="22"/>
        </w:rPr>
        <w:t>¹ Source: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EPS have drifted modestly lower since the Q1 print (from ~$1.91 to ~$1.90), consistent with management's explicit Q2 caution on alternative investment income and Other Operations NII. Full-year 2026 EPS consensus has also edged down slightly, but remains well above the Investor Day CAGR trajectory — the gap is a cushion, not a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(c. May 8,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Operating EPS — Q2 2026</w:t>
            </w:r>
          </w:p>
        </w:tc>
        <w:tc>
          <w:tcPr>
            <w:tcW w:type="dxa" w:w="1080"/>
          </w:tcPr>
          <w:p>
            <w:r>
              <w:rPr>
                <w:rFonts w:ascii="Calibri" w:hAnsi="Calibri"/>
                <w:sz w:val="22"/>
              </w:rPr>
              <w:t>$1.91 ¹</w:t>
            </w:r>
          </w:p>
        </w:tc>
        <w:tc>
          <w:tcPr>
            <w:tcW w:type="dxa" w:w="1080"/>
          </w:tcPr>
          <w:p>
            <w:r>
              <w:rPr>
                <w:rFonts w:ascii="Calibri" w:hAnsi="Calibri"/>
                <w:sz w:val="22"/>
              </w:rPr>
              <w:t>$1.90 ¹</w:t>
            </w:r>
          </w:p>
        </w:tc>
        <w:tc>
          <w:tcPr>
            <w:tcW w:type="dxa" w:w="1080"/>
          </w:tcPr>
          <w:p>
            <w:r>
              <w:rPr>
                <w:rFonts w:ascii="Calibri" w:hAnsi="Calibri"/>
                <w:sz w:val="22"/>
              </w:rPr>
              <w:t>−0.5%</w:t>
            </w:r>
          </w:p>
        </w:tc>
        <w:tc>
          <w:tcPr>
            <w:tcW w:type="dxa" w:w="1080"/>
          </w:tcPr>
          <w:p>
            <w:r>
              <w:rPr>
                <w:rFonts w:ascii="Calibri" w:hAnsi="Calibri"/>
                <w:sz w:val="22"/>
              </w:rPr>
              <w:t>No specific Q2 EPS guide; 20%+ CAGR path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above CAGR path</w:t>
            </w:r>
          </w:p>
        </w:tc>
      </w:tr>
      <w:tr>
        <w:tc>
          <w:tcPr>
            <w:tcW w:type="dxa" w:w="1080"/>
          </w:tcPr>
          <w:p>
            <w:r>
              <w:rPr>
                <w:rFonts w:ascii="Calibri" w:hAnsi="Calibri"/>
                <w:sz w:val="22"/>
              </w:rPr>
              <w:t>Adj. Operating EPS — FY2026</w:t>
            </w:r>
          </w:p>
        </w:tc>
        <w:tc>
          <w:tcPr>
            <w:tcW w:type="dxa" w:w="1080"/>
          </w:tcPr>
          <w:p>
            <w:r>
              <w:rPr>
                <w:rFonts w:ascii="Calibri" w:hAnsi="Calibri"/>
                <w:sz w:val="22"/>
              </w:rPr>
              <w:t>$8.02 ¹</w:t>
            </w:r>
          </w:p>
        </w:tc>
        <w:tc>
          <w:tcPr>
            <w:tcW w:type="dxa" w:w="1080"/>
          </w:tcPr>
          <w:p>
            <w:r>
              <w:rPr>
                <w:rFonts w:ascii="Calibri" w:hAnsi="Calibri"/>
                <w:sz w:val="22"/>
              </w:rPr>
              <w:t>$7.98 ¹</w:t>
            </w:r>
          </w:p>
        </w:tc>
        <w:tc>
          <w:tcPr>
            <w:tcW w:type="dxa" w:w="1080"/>
          </w:tcPr>
          <w:p>
            <w:r>
              <w:rPr>
                <w:rFonts w:ascii="Calibri" w:hAnsi="Calibri"/>
                <w:sz w:val="22"/>
              </w:rPr>
              <w:t>−0.5%</w:t>
            </w:r>
          </w:p>
        </w:tc>
        <w:tc>
          <w:tcPr>
            <w:tcW w:type="dxa" w:w="1080"/>
          </w:tcPr>
          <w:p>
            <w:r>
              <w:rPr>
                <w:rFonts w:ascii="Calibri" w:hAnsi="Calibri"/>
                <w:sz w:val="22"/>
              </w:rPr>
              <w:t>20%+ CAGR (Investor Day)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above CAGR path</w:t>
            </w:r>
          </w:p>
        </w:tc>
      </w:tr>
      <w:tr>
        <w:tc>
          <w:tcPr>
            <w:tcW w:type="dxa" w:w="1080"/>
          </w:tcPr>
          <w:p>
            <w:r>
              <w:rPr>
                <w:rFonts w:ascii="Calibri" w:hAnsi="Calibri"/>
                <w:sz w:val="22"/>
              </w:rPr>
              <w:t>Combined Ratio — GI — Q2 2026 (%)</w:t>
            </w:r>
          </w:p>
        </w:tc>
        <w:tc>
          <w:tcPr>
            <w:tcW w:type="dxa" w:w="1080"/>
          </w:tcPr>
          <w:p>
            <w:r>
              <w:rPr>
                <w:rFonts w:ascii="Calibri" w:hAnsi="Calibri"/>
                <w:sz w:val="22"/>
              </w:rPr>
              <w:t>90.5% ¹</w:t>
            </w:r>
          </w:p>
        </w:tc>
        <w:tc>
          <w:tcPr>
            <w:tcW w:type="dxa" w:w="1080"/>
          </w:tcPr>
          <w:p>
            <w:r>
              <w:rPr>
                <w:rFonts w:ascii="Calibri" w:hAnsi="Calibri"/>
                <w:sz w:val="22"/>
              </w:rPr>
              <w:t>90.2% ¹</w:t>
            </w:r>
          </w:p>
        </w:tc>
        <w:tc>
          <w:tcPr>
            <w:tcW w:type="dxa" w:w="1080"/>
          </w:tcPr>
          <w:p>
            <w:r>
              <w:rPr>
                <w:rFonts w:ascii="Calibri" w:hAnsi="Calibri"/>
                <w:sz w:val="22"/>
              </w:rPr>
              <w:t>−0.3 pts (improvement)</w:t>
            </w:r>
          </w:p>
        </w:tc>
        <w:tc>
          <w:tcPr>
            <w:tcW w:type="dxa" w:w="1080"/>
          </w:tcPr>
          <w:p>
            <w:r>
              <w:rPr>
                <w:rFonts w:ascii="Calibri" w:hAnsi="Calibri"/>
                <w:sz w:val="22"/>
              </w:rPr>
              <w:t>Sub-90% target (Investor Day)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0.2 pts above target; modest risk</w:t>
            </w:r>
          </w:p>
        </w:tc>
      </w:tr>
      <w:tr>
        <w:tc>
          <w:tcPr>
            <w:tcW w:type="dxa" w:w="1080"/>
          </w:tcPr>
          <w:p>
            <w:r>
              <w:rPr>
                <w:rFonts w:ascii="Calibri" w:hAnsi="Calibri"/>
                <w:sz w:val="22"/>
              </w:rPr>
              <w:t>Combined Ratio — GI — FY2026 (%)</w:t>
            </w:r>
          </w:p>
        </w:tc>
        <w:tc>
          <w:tcPr>
            <w:tcW w:type="dxa" w:w="1080"/>
          </w:tcPr>
          <w:p>
            <w:r>
              <w:rPr>
                <w:rFonts w:ascii="Calibri" w:hAnsi="Calibri"/>
                <w:sz w:val="22"/>
              </w:rPr>
              <w:t>90.2% ¹</w:t>
            </w:r>
          </w:p>
        </w:tc>
        <w:tc>
          <w:tcPr>
            <w:tcW w:type="dxa" w:w="1080"/>
          </w:tcPr>
          <w:p>
            <w:r>
              <w:rPr>
                <w:rFonts w:ascii="Calibri" w:hAnsi="Calibri"/>
                <w:sz w:val="22"/>
              </w:rPr>
              <w:t>90.1% ¹</w:t>
            </w:r>
          </w:p>
        </w:tc>
        <w:tc>
          <w:tcPr>
            <w:tcW w:type="dxa" w:w="1080"/>
          </w:tcPr>
          <w:p>
            <w:r>
              <w:rPr>
                <w:rFonts w:ascii="Calibri" w:hAnsi="Calibri"/>
                <w:sz w:val="22"/>
              </w:rPr>
              <w:t>−0.1 pts (improvement)</w:t>
            </w:r>
          </w:p>
        </w:tc>
        <w:tc>
          <w:tcPr>
            <w:tcW w:type="dxa" w:w="1080"/>
          </w:tcPr>
          <w:p>
            <w:r>
              <w:rPr>
                <w:rFonts w:ascii="Calibri" w:hAnsi="Calibri"/>
                <w:sz w:val="22"/>
              </w:rPr>
              <w:t>Sub-90% target (Investor Day)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just above target for full year</w:t>
            </w:r>
          </w:p>
        </w:tc>
      </w:tr>
      <w:tr>
        <w:tc>
          <w:tcPr>
            <w:tcW w:type="dxa" w:w="1080"/>
          </w:tcPr>
          <w:p>
            <w:r>
              <w:rPr>
                <w:rFonts w:ascii="Calibri" w:hAnsi="Calibri"/>
                <w:sz w:val="22"/>
              </w:rPr>
              <w:t>Net Premiums Written — GI — Q2 2026 ($B)</w:t>
            </w:r>
          </w:p>
        </w:tc>
        <w:tc>
          <w:tcPr>
            <w:tcW w:type="dxa" w:w="1080"/>
          </w:tcPr>
          <w:p>
            <w:r>
              <w:rPr>
                <w:rFonts w:ascii="Calibri" w:hAnsi="Calibri"/>
                <w:sz w:val="22"/>
              </w:rPr>
              <w:t>$7.78B ¹</w:t>
            </w:r>
          </w:p>
        </w:tc>
        <w:tc>
          <w:tcPr>
            <w:tcW w:type="dxa" w:w="1080"/>
          </w:tcPr>
          <w:p>
            <w:r>
              <w:rPr>
                <w:rFonts w:ascii="Calibri" w:hAnsi="Calibri"/>
                <w:sz w:val="22"/>
              </w:rPr>
              <w:t>$7.61B ¹</w:t>
            </w:r>
          </w:p>
        </w:tc>
        <w:tc>
          <w:tcPr>
            <w:tcW w:type="dxa" w:w="1080"/>
          </w:tcPr>
          <w:p>
            <w:r>
              <w:rPr>
                <w:rFonts w:ascii="Calibri" w:hAnsi="Calibri"/>
                <w:sz w:val="22"/>
              </w:rPr>
              <w:t>−2.2%</w:t>
            </w:r>
          </w:p>
        </w:tc>
        <w:tc>
          <w:tcPr>
            <w:tcW w:type="dxa" w:w="1080"/>
          </w:tcPr>
          <w:p>
            <w:r>
              <w:rPr>
                <w:rFonts w:ascii="Calibri" w:hAnsi="Calibri"/>
                <w:sz w:val="22"/>
              </w:rPr>
              <w:t>Low-to-mid teens FY2026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within guidance range</w:t>
            </w:r>
          </w:p>
        </w:tc>
      </w:tr>
      <w:tr>
        <w:tc>
          <w:tcPr>
            <w:tcW w:type="dxa" w:w="1080"/>
          </w:tcPr>
          <w:p>
            <w:r>
              <w:rPr>
                <w:rFonts w:ascii="Calibri" w:hAnsi="Calibri"/>
                <w:sz w:val="22"/>
              </w:rPr>
              <w:t>Net Premiums Written — GI — FY2026 ($B)</w:t>
            </w:r>
          </w:p>
        </w:tc>
        <w:tc>
          <w:tcPr>
            <w:tcW w:type="dxa" w:w="1080"/>
          </w:tcPr>
          <w:p>
            <w:r>
              <w:rPr>
                <w:rFonts w:ascii="Calibri" w:hAnsi="Calibri"/>
                <w:sz w:val="22"/>
              </w:rPr>
              <w:t>$27.1B ¹</w:t>
            </w:r>
          </w:p>
        </w:tc>
        <w:tc>
          <w:tcPr>
            <w:tcW w:type="dxa" w:w="1080"/>
          </w:tcPr>
          <w:p>
            <w:r>
              <w:rPr>
                <w:rFonts w:ascii="Calibri" w:hAnsi="Calibri"/>
                <w:sz w:val="22"/>
              </w:rPr>
              <w:t>$26.8B ¹</w:t>
            </w:r>
          </w:p>
        </w:tc>
        <w:tc>
          <w:tcPr>
            <w:tcW w:type="dxa" w:w="1080"/>
          </w:tcPr>
          <w:p>
            <w:r>
              <w:rPr>
                <w:rFonts w:ascii="Calibri" w:hAnsi="Calibri"/>
                <w:sz w:val="22"/>
              </w:rPr>
              <w:t>−1.1%</w:t>
            </w:r>
          </w:p>
        </w:tc>
        <w:tc>
          <w:tcPr>
            <w:tcW w:type="dxa" w:w="1080"/>
          </w:tcPr>
          <w:p>
            <w:r>
              <w:rPr>
                <w:rFonts w:ascii="Calibri" w:hAnsi="Calibri"/>
                <w:sz w:val="22"/>
              </w:rPr>
              <w:t>Low-to-mid teens FY2026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within guidance range</w:t>
            </w:r>
          </w:p>
        </w:tc>
      </w:tr>
      <w:tr>
        <w:tc>
          <w:tcPr>
            <w:tcW w:type="dxa" w:w="1080"/>
          </w:tcPr>
          <w:p>
            <w:r>
              <w:rPr>
                <w:rFonts w:ascii="Calibri" w:hAnsi="Calibri"/>
                <w:sz w:val="22"/>
              </w:rPr>
              <w:t>Net Investment Income — Operating — Q2 2026 ($M)</w:t>
            </w:r>
          </w:p>
        </w:tc>
        <w:tc>
          <w:tcPr>
            <w:tcW w:type="dxa" w:w="1080"/>
          </w:tcPr>
          <w:p>
            <w:r>
              <w:rPr>
                <w:rFonts w:ascii="Calibri" w:hAnsi="Calibri"/>
                <w:sz w:val="22"/>
              </w:rPr>
              <w:t>$946M ¹</w:t>
            </w:r>
          </w:p>
        </w:tc>
        <w:tc>
          <w:tcPr>
            <w:tcW w:type="dxa" w:w="1080"/>
          </w:tcPr>
          <w:p>
            <w:r>
              <w:rPr>
                <w:rFonts w:ascii="Calibri" w:hAnsi="Calibri"/>
                <w:sz w:val="22"/>
              </w:rPr>
              <w:t>$917M ¹</w:t>
            </w:r>
          </w:p>
        </w:tc>
        <w:tc>
          <w:tcPr>
            <w:tcW w:type="dxa" w:w="1080"/>
          </w:tcPr>
          <w:p>
            <w:r>
              <w:rPr>
                <w:rFonts w:ascii="Calibri" w:hAnsi="Calibri"/>
                <w:sz w:val="22"/>
              </w:rPr>
              <w:t>−3.1%</w:t>
            </w:r>
          </w:p>
        </w:tc>
        <w:tc>
          <w:tcPr>
            <w:tcW w:type="dxa" w:w="1080"/>
          </w:tcPr>
          <w:p>
            <w:r>
              <w:rPr>
                <w:rFonts w:ascii="Calibri" w:hAnsi="Calibri"/>
                <w:sz w:val="22"/>
              </w:rPr>
              <w:t>Other Ops NII: $30–40M (Q2 specific)</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Estimates revised down; consistent with Q2 guidance</w:t>
            </w:r>
          </w:p>
        </w:tc>
      </w:tr>
    </w:tbl>
    <w:p>
      <w:r>
        <w:rPr>
          <w:rFonts w:ascii="Calibri" w:hAnsi="Calibri"/>
          <w:color w:val="525866"/>
          <w:sz w:val="22"/>
        </w:rPr>
        <w:t>¹ Source: Visible Alpha Consensus and Actuals Data. Post-Q1 baseline as of approximately May 8, 2026 (5 trading days after April 30 earnings). Current consensus as of August 5, 2026.</w:t>
      </w:r>
    </w:p>
    <w:p>
      <w:r>
        <w:rPr>
          <w:rFonts w:ascii="Calibri" w:hAnsi="Calibri"/>
          <w:color w:val="525866"/>
          <w:sz w:val="22"/>
        </w:rPr>
        <w:t>The modest downward drift in Q2 NII estimates is fully explained by management's explicit Q2 guidance for Other Operations NII of $30–40M (vs. Q1's $54M) and below-target alternative investment returns. The combined ratio estimate has actually improved slightly since the Q1 print, suggesting the street is giving AIG credit for continued underwriting discipline even as it builds in some cat normalization from Q1's unusually low $180M cat load.</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AIG has significantly underperformed the insurance sector ETF (KIE) since Q1 earnings — up only ~1.7% vs. KIE +14.2% and SPY +6.8% — suggesting the stock has not priced in a beat and that multiple re-rating is a potential catalyst if Q2 results confirm the underwriting improvement trend.</w:t>
      </w:r>
    </w:p>
    <w:p>
      <w:r>
        <w:rPr>
          <w:rFonts w:ascii="Calibri" w:hAnsi="Calibri"/>
          <w:color w:val="525866"/>
          <w:sz w:val="22"/>
        </w:rPr>
        <w:t>Since the Q1 2026 earnings date (May 1, 2026 close at $78.77), AIG has traded in a narrow range, closing at $80.12 on August 6, 2026 (earnings day), a gain of approximately +1.7%. Over the same period, the SPDR S&amp;P Insurance ETF (KIE) — the most relevant sector benchmark for AIG's P&amp;C insurance business — rose from $56.79 to $64.87, a gain of approximately +14.2%. The S&amp;P 500 (SPY) rose from $720.65 to $769.79, a gain of approximately +6.8%. AIG's underperformance vs. KIE of approximately 12.5 percentage points reflects the market's cautious stance on AIG's property portfolio headwinds (Lexington large account contraction), the leadership transition to Eric Andersen, and the guided weakness in alternative investment income and Other Operations NII for Q2. The stock did rally to ~$81 in early July as peers reported strong Q2 results, but gave back gains mid-July before recovering into the print. Source: Stock Price Data (Yahoo Finance).</w:t>
      </w:r>
    </w:p>
    <w:p>
      <w:r>
        <w:rPr>
          <w:rFonts w:ascii="Calibri" w:hAnsi="Calibri"/>
          <w:b/>
          <w:color w:val="525866"/>
          <w:sz w:val="22"/>
        </w:rPr>
        <w:t xml:space="preserve">Note: </w:t>
      </w:r>
      <w:r>
        <w:rPr>
          <w:rFonts w:ascii="Calibri" w:hAnsi="Calibri"/>
          <w:color w:val="525866"/>
          <w:sz w:val="22"/>
        </w:rPr>
        <w:t>The indexed performance chart (AIG vs. KIE vs. SPY, base = 100 at May 1, 2026) is included below. KIE (SPDR S&amp;P Insurance ETF) was selected as the sector benchmark as it tracks the S&amp;P Insurance Select Industry Index, which includes P&amp;C, life, and multi-line insurers — directly applicable to AIG's General Insurance business.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AIG (Indexed)</w:t>
            </w:r>
          </w:p>
        </w:tc>
        <w:tc>
          <w:tcPr>
            <w:tcW w:type="dxa" w:w="2160"/>
            <w:shd w:val="clear" w:color="auto" w:fill="3B4259"/>
          </w:tcPr>
          <w:p>
            <w:r>
              <w:rPr>
                <w:rFonts w:ascii="Calibri" w:hAnsi="Calibri"/>
                <w:b/>
                <w:color w:val="FFFFFF"/>
                <w:sz w:val="22"/>
              </w:rPr>
              <w:t>KIE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1, 2026 (Q1 Earnings Day)</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29, 2026</w:t>
            </w:r>
          </w:p>
        </w:tc>
        <w:tc>
          <w:tcPr>
            <w:tcW w:type="dxa" w:w="2160"/>
          </w:tcPr>
          <w:p>
            <w:r>
              <w:rPr>
                <w:rFonts w:ascii="Calibri" w:hAnsi="Calibri"/>
                <w:sz w:val="22"/>
              </w:rPr>
              <w:t>94.2</w:t>
            </w:r>
          </w:p>
        </w:tc>
        <w:tc>
          <w:tcPr>
            <w:tcW w:type="dxa" w:w="2160"/>
          </w:tcPr>
          <w:p>
            <w:r>
              <w:rPr>
                <w:rFonts w:ascii="Calibri" w:hAnsi="Calibri"/>
                <w:sz w:val="22"/>
              </w:rPr>
              <w:t>97.1</w:t>
            </w:r>
          </w:p>
        </w:tc>
        <w:tc>
          <w:tcPr>
            <w:tcW w:type="dxa" w:w="2160"/>
          </w:tcPr>
          <w:p>
            <w:r>
              <w:rPr>
                <w:rFonts w:ascii="Calibri" w:hAnsi="Calibri"/>
                <w:sz w:val="22"/>
              </w:rPr>
              <w:t>104.8</w:t>
            </w:r>
          </w:p>
        </w:tc>
      </w:tr>
      <w:tr>
        <w:tc>
          <w:tcPr>
            <w:tcW w:type="dxa" w:w="2160"/>
          </w:tcPr>
          <w:p>
            <w:r>
              <w:rPr>
                <w:rFonts w:ascii="Calibri" w:hAnsi="Calibri"/>
                <w:sz w:val="22"/>
              </w:rPr>
              <w:t>Jun 30, 2026 (Q2 Quarter End)</w:t>
            </w:r>
          </w:p>
        </w:tc>
        <w:tc>
          <w:tcPr>
            <w:tcW w:type="dxa" w:w="2160"/>
          </w:tcPr>
          <w:p>
            <w:r>
              <w:rPr>
                <w:rFonts w:ascii="Calibri" w:hAnsi="Calibri"/>
                <w:sz w:val="22"/>
              </w:rPr>
              <w:t>94.6</w:t>
            </w:r>
          </w:p>
        </w:tc>
        <w:tc>
          <w:tcPr>
            <w:tcW w:type="dxa" w:w="2160"/>
          </w:tcPr>
          <w:p>
            <w:r>
              <w:rPr>
                <w:rFonts w:ascii="Calibri" w:hAnsi="Calibri"/>
                <w:sz w:val="22"/>
              </w:rPr>
              <w:t>107.4</w:t>
            </w:r>
          </w:p>
        </w:tc>
        <w:tc>
          <w:tcPr>
            <w:tcW w:type="dxa" w:w="2160"/>
          </w:tcPr>
          <w:p>
            <w:r>
              <w:rPr>
                <w:rFonts w:ascii="Calibri" w:hAnsi="Calibri"/>
                <w:sz w:val="22"/>
              </w:rPr>
              <w:t>103.6</w:t>
            </w:r>
          </w:p>
        </w:tc>
      </w:tr>
      <w:tr>
        <w:tc>
          <w:tcPr>
            <w:tcW w:type="dxa" w:w="2160"/>
          </w:tcPr>
          <w:p>
            <w:r>
              <w:rPr>
                <w:rFonts w:ascii="Calibri" w:hAnsi="Calibri"/>
                <w:sz w:val="22"/>
              </w:rPr>
              <w:t>Jul 7, 2026 (Peer earnings rally)</w:t>
            </w:r>
          </w:p>
        </w:tc>
        <w:tc>
          <w:tcPr>
            <w:tcW w:type="dxa" w:w="2160"/>
          </w:tcPr>
          <w:p>
            <w:r>
              <w:rPr>
                <w:rFonts w:ascii="Calibri" w:hAnsi="Calibri"/>
                <w:sz w:val="22"/>
              </w:rPr>
              <w:t>102.9</w:t>
            </w:r>
          </w:p>
        </w:tc>
        <w:tc>
          <w:tcPr>
            <w:tcW w:type="dxa" w:w="2160"/>
          </w:tcPr>
          <w:p>
            <w:r>
              <w:rPr>
                <w:rFonts w:ascii="Calibri" w:hAnsi="Calibri"/>
                <w:sz w:val="22"/>
              </w:rPr>
              <w:t>113.4</w:t>
            </w:r>
          </w:p>
        </w:tc>
        <w:tc>
          <w:tcPr>
            <w:tcW w:type="dxa" w:w="2160"/>
          </w:tcPr>
          <w:p>
            <w:r>
              <w:rPr>
                <w:rFonts w:ascii="Calibri" w:hAnsi="Calibri"/>
                <w:sz w:val="22"/>
              </w:rPr>
              <w:t>103.8</w:t>
            </w:r>
          </w:p>
        </w:tc>
      </w:tr>
      <w:tr>
        <w:tc>
          <w:tcPr>
            <w:tcW w:type="dxa" w:w="2160"/>
          </w:tcPr>
          <w:p>
            <w:r>
              <w:rPr>
                <w:rFonts w:ascii="Calibri" w:hAnsi="Calibri"/>
                <w:sz w:val="22"/>
              </w:rPr>
              <w:t>Aug 6, 2026 (Earnings Day)</w:t>
            </w:r>
          </w:p>
        </w:tc>
        <w:tc>
          <w:tcPr>
            <w:tcW w:type="dxa" w:w="2160"/>
          </w:tcPr>
          <w:p>
            <w:r>
              <w:rPr>
                <w:rFonts w:ascii="Calibri" w:hAnsi="Calibri"/>
                <w:sz w:val="22"/>
              </w:rPr>
              <w:t>101.7</w:t>
            </w:r>
          </w:p>
        </w:tc>
        <w:tc>
          <w:tcPr>
            <w:tcW w:type="dxa" w:w="2160"/>
          </w:tcPr>
          <w:p>
            <w:r>
              <w:rPr>
                <w:rFonts w:ascii="Calibri" w:hAnsi="Calibri"/>
                <w:sz w:val="22"/>
              </w:rPr>
              <w:t>114.2</w:t>
            </w:r>
          </w:p>
        </w:tc>
        <w:tc>
          <w:tcPr>
            <w:tcW w:type="dxa" w:w="2160"/>
          </w:tcPr>
          <w:p>
            <w:r>
              <w:rPr>
                <w:rFonts w:ascii="Calibri" w:hAnsi="Calibri"/>
                <w:sz w:val="22"/>
              </w:rPr>
              <w:t>106.8</w:t>
            </w:r>
          </w:p>
        </w:tc>
      </w:tr>
    </w:tbl>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formal CEO transition to Eric Andersen on June 1, 2026, who has explicitly reaffirmed all Investor Day targets — removing succession uncertainty as an overhang. The secondary development is the appointment of a new independent director (May 14), which strengthens governance ahead of the Corebridge full exit.</w:t>
      </w:r>
    </w:p>
    <w:p>
      <w:pPr>
        <w:pStyle w:val="ListBullet"/>
        <w:ind w:left="360" w:hanging="360"/>
      </w:pPr>
      <w:r>
        <w:rPr>
          <w:rFonts w:ascii="Calibri" w:hAnsi="Calibri"/>
          <w:b/>
          <w:color w:val="525866"/>
          <w:sz w:val="22"/>
        </w:rPr>
        <w:t>June 1, 2026 — Eric Andersen officially becomes CEO.</w:t>
      </w:r>
      <w:r>
        <w:rPr>
          <w:rFonts w:ascii="Calibri" w:hAnsi="Calibri"/>
          <w:color w:val="525866"/>
          <w:sz w:val="22"/>
        </w:rPr>
        <w:t xml:space="preserve"> After ~90 days of onboarding (meeting clients, brokers, rating agencies, regulators), Andersen assumed the CEO role from Peter Zaffino (who moved to Executive Chairman). Andersen explicitly reaffirmed all Investor Day financial targets on the Q1 call. </w:t>
      </w:r>
    </w:p>
    <w:p>
      <w:pPr>
        <w:pStyle w:val="ListBullet"/>
        <w:ind w:left="360" w:hanging="360"/>
      </w:pPr>
      <w:r>
        <w:rPr>
          <w:rFonts w:ascii="Calibri" w:hAnsi="Calibri"/>
          <w:b/>
          <w:color w:val="525866"/>
          <w:sz w:val="22"/>
        </w:rPr>
        <w:t>May 14, 2026 — New Independent Director Appointed; Annual Meeting Results.</w:t>
      </w:r>
      <w:r>
        <w:rPr>
          <w:rFonts w:ascii="Calibri" w:hAnsi="Calibri"/>
          <w:color w:val="525866"/>
          <w:sz w:val="22"/>
        </w:rPr>
        <w:t xml:space="preserve"> AIG appointed a new independent director to its Board of Directors. Shareholders voted to approve executive compensation and ratified the auditor. </w:t>
      </w:r>
    </w:p>
    <w:p>
      <w:pPr>
        <w:pStyle w:val="ListBullet"/>
        <w:ind w:left="360" w:hanging="360"/>
      </w:pPr>
      <w:r>
        <w:rPr>
          <w:rFonts w:ascii="Calibri" w:hAnsi="Calibri"/>
          <w:b/>
          <w:color w:val="525866"/>
          <w:sz w:val="22"/>
        </w:rPr>
        <w:t>May 1, 2026 — Q1 2026 Earnings Beat; Dividend Raised 11%.</w:t>
      </w:r>
      <w:r>
        <w:rPr>
          <w:rFonts w:ascii="Calibri" w:hAnsi="Calibri"/>
          <w:color w:val="525866"/>
          <w:sz w:val="22"/>
        </w:rPr>
        <w:t xml:space="preserve"> AIG reported adjusted operating EPS of $2.11 (+80% YoY), well above consensus of ~$1.88. The Board approved an 11% dividend increase to $0.50/share per quarter, effective Q2 2026 — the fourth consecutive year of double-digit dividend growth. </w:t>
      </w:r>
    </w:p>
    <w:p>
      <w:pPr>
        <w:pStyle w:val="ListBullet"/>
        <w:ind w:left="360" w:hanging="360"/>
      </w:pPr>
      <w:r>
        <w:rPr>
          <w:rFonts w:ascii="Calibri" w:hAnsi="Calibri"/>
          <w:b/>
          <w:color w:val="525866"/>
          <w:sz w:val="22"/>
        </w:rPr>
        <w:t>Ongoing — Corebridge Financial Stake Monetization.</w:t>
      </w:r>
      <w:r>
        <w:rPr>
          <w:rFonts w:ascii="Calibri" w:hAnsi="Calibri"/>
          <w:color w:val="525866"/>
          <w:sz w:val="22"/>
        </w:rPr>
        <w:t xml:space="preserve"> AIG's equity interest in Corebridge Financial stood at approximately 5.6% at Q1 end. Management expects to fully exit the position in 2026, with proceeds earmarked primarily for additional share repurchases. Any block trade or secondary offering announcement would be a near-term catalyst. </w:t>
      </w:r>
    </w:p>
    <w:p>
      <w:pPr>
        <w:pStyle w:val="ListBullet"/>
        <w:ind w:left="360" w:hanging="360"/>
      </w:pPr>
      <w:r>
        <w:rPr>
          <w:rFonts w:ascii="Calibri" w:hAnsi="Calibri"/>
          <w:b/>
          <w:color w:val="525866"/>
          <w:sz w:val="22"/>
        </w:rPr>
        <w:t>Ongoing — Lexington Large Account Portfolio Contraction.</w:t>
      </w:r>
      <w:r>
        <w:rPr>
          <w:rFonts w:ascii="Calibri" w:hAnsi="Calibri"/>
          <w:color w:val="525866"/>
          <w:sz w:val="22"/>
        </w:rPr>
        <w:t xml:space="preserve"> AIG is actively non-renewing accounts in the Lexington large account shared-and-layered E&amp;S property book (less than 10% of Global Property GPW) where pricing no longer meets risk-adjusted return thresholds. New business in this segment declined 19% YoY in Q1. This is a deliberate drag on NPW growth but a positive for combined ratio. </w:t>
      </w:r>
    </w:p>
    <w:p>
      <w:pPr>
        <w:pStyle w:val="ListBullet"/>
        <w:ind w:left="360" w:hanging="360"/>
      </w:pPr>
      <w:r>
        <w:rPr>
          <w:rFonts w:ascii="Calibri" w:hAnsi="Calibri"/>
          <w:b/>
          <w:color w:val="525866"/>
          <w:sz w:val="22"/>
        </w:rPr>
        <w:t>Ongoing — GenAI / Multi-Agentic Deployment.</w:t>
      </w:r>
      <w:r>
        <w:rPr>
          <w:rFonts w:ascii="Calibri" w:hAnsi="Calibri"/>
          <w:color w:val="525866"/>
          <w:sz w:val="22"/>
        </w:rPr>
        <w:t xml:space="preserve"> AIG is in active beta testing of multi-agent AI solutions in partnership with Palantir and Anthropic, with measurable productivity improvements in Lexington middle market property underwriting. Management described autonomous agent run times expanding dramatically. This is a medium-term expense ratio catalyst. </w:t>
      </w:r>
    </w:p>
    <w:p>
      <w:pPr>
        <w:pStyle w:val="ListBullet"/>
        <w:ind w:left="360" w:hanging="360"/>
      </w:pPr>
      <w:r>
        <w:rPr>
          <w:rFonts w:ascii="Calibri" w:hAnsi="Calibri"/>
          <w:b/>
          <w:color w:val="525866"/>
          <w:sz w:val="22"/>
        </w:rPr>
        <w:t>Ongoing — Geopolitical Risk Demand Tailwind.</w:t>
      </w:r>
      <w:r>
        <w:rPr>
          <w:rFonts w:ascii="Calibri" w:hAnsi="Calibri"/>
          <w:color w:val="525866"/>
          <w:sz w:val="22"/>
        </w:rPr>
        <w:t xml:space="preserve"> Management highlighted Middle East conflict and shifting trade policies as demand drivers for specialty lines (political risk, trade credit, marine/war). AIG also announced participation in the U.S. International Development Finance Corporation's Maritime Reinsurance plan. Peers ACGL and CB both flagged incremental war/terrorism losses in Q2, which could affect AIG's specialty book. </w:t>
      </w:r>
    </w:p>
    <w:p>
      <w:pPr>
        <w:pStyle w:val="ListBullet"/>
        <w:ind w:left="360" w:hanging="360"/>
      </w:pPr>
      <w:r>
        <w:rPr>
          <w:rFonts w:ascii="Calibri" w:hAnsi="Calibri"/>
          <w:b/>
          <w:color w:val="525866"/>
          <w:sz w:val="22"/>
        </w:rPr>
        <w:t>Q1 2026 — Barclays Price Target Raised (Equal Weight maintained).</w:t>
      </w:r>
      <w:r>
        <w:rPr>
          <w:rFonts w:ascii="Calibri" w:hAnsi="Calibri"/>
          <w:color w:val="525866"/>
          <w:sz w:val="22"/>
        </w:rPr>
        <w:t xml:space="preserve"> Following the Q1 beat, Barclays raised its price target on AIG while maintaining an Equal Weight rating — a modest positive signal but not a full upgrade.</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open-market insider purchases or sales (Form 4 transaction codes P/S) were identified for AIG in the period from May 1 to August 5, 2026. The absence of insider selling ahead of the print is a mild positive signal, though the lack of open-market buying means insiders are not providing a strong directional signal either way.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buys or sells (Form 4 codes P/S) identified for AIG in the May 1 – Aug 5, 2026 window per SEC Form 4 database query.</w:t>
            </w:r>
          </w:p>
        </w:tc>
      </w:tr>
    </w:tbl>
    <w:p>
      <w:r>
        <w:rPr>
          <w:rFonts w:ascii="Calibri" w:hAnsi="Calibri"/>
          <w:b/>
          <w:color w:val="525866"/>
          <w:sz w:val="22"/>
        </w:rPr>
        <w:t xml:space="preserve">Note: </w:t>
      </w:r>
      <w:r>
        <w:rPr>
          <w:rFonts w:ascii="Calibri" w:hAnsi="Calibri"/>
          <w:color w:val="525866"/>
          <w:sz w:val="22"/>
        </w:rPr>
        <w:t>The SEC Form 4 database was queried for AIG open-market purchases (code P) and sales (code S) filed between May 1 and August 5, 2026. No transactions matching these criteria were returned. Routine equity award grants (code A) and option exercises (code M) are excluded per standard practice. The absence of discretionary insider selling in the 90 days ahead of the print is a mild positive, particularly given the CEO transition and the pending Corebridge exit.</w:t>
      </w:r>
    </w:p>
    <w:p>
      <w:r>
        <w:br w:type="page"/>
      </w:r>
    </w:p>
    <w:p>
      <w:pPr>
        <w:pStyle w:val="Heading2"/>
      </w:pPr>
      <w:r>
        <w:rPr>
          <w:rFonts w:ascii="Calibri" w:hAnsi="Calibri"/>
          <w:b/>
          <w:color w:val="3B4259"/>
          <w:sz w:val="28"/>
        </w:rPr>
        <w:t>8. Peer Commentary &amp; Read-Through</w:t>
      </w:r>
    </w:p>
    <w:p>
      <w:r>
        <w:rPr>
          <w:rFonts w:ascii="Calibri" w:hAnsi="Calibri"/>
          <w:b/>
          <w:color w:val="525866"/>
          <w:sz w:val="22"/>
        </w:rPr>
        <w:t xml:space="preserve">Key Takeaway: </w:t>
      </w:r>
      <w:r>
        <w:rPr>
          <w:rFonts w:ascii="Calibri" w:hAnsi="Calibri"/>
          <w:color w:val="525866"/>
          <w:sz w:val="22"/>
        </w:rPr>
        <w:t>Peers reporting Q2 2026 results in July 2026 (TRV, CB, HIG, WRB, ACGL) collectively signal a softening but still-profitable commercial P&amp;C market, with property pricing under the most pressure and casualty remaining more disciplined. The read-through for AIG is mixed: the underwriting environment supports continued combined ratio outperformance, but casualty loss cost inflation (6–12% per Chubb) and reserve adequacy in GL/auto are emerging risks that AIG will need to address.</w:t>
      </w:r>
    </w:p>
    <w:p>
      <w:r>
        <w:rPr>
          <w:rFonts w:ascii="Calibri" w:hAnsi="Calibri"/>
          <w:b/>
          <w:color w:val="525866"/>
          <w:sz w:val="22"/>
        </w:rPr>
        <w:t xml:space="preserve">Scope and Methodology: </w:t>
      </w:r>
      <w:r>
        <w:rPr>
          <w:rFonts w:ascii="Calibri" w:hAnsi="Calibri"/>
          <w:color w:val="525866"/>
          <w:sz w:val="22"/>
        </w:rPr>
        <w:t>The commentary below is drawn exclusively from Q2 2026 earnings calls and disclosures made by AIG's P&amp;C insurance peers between July 14 and July 29, 2026 — all within the last 60 days and all addressing the forward outlook (Q3 2026 and beyond) or current market conditions as of Q2 2026. Commentary that solely described each peer's own Q2 reported results (backward-looking) has been excluded. Each peer's commentary is assessed for its applicability and limitations to AIG specifically.</w:t>
      </w:r>
    </w:p>
    <w:p>
      <w:pPr>
        <w:pStyle w:val="Heading3"/>
      </w:pPr>
      <w:r>
        <w:rPr>
          <w:rFonts w:ascii="Calibri" w:hAnsi="Calibri"/>
          <w:b/>
          <w:color w:val="3B4259"/>
          <w:sz w:val="24"/>
        </w:rPr>
        <w:t>8.1 Travelers (TRV) — Q2 2026 Earnings Call (July 17, 2026)</w:t>
      </w:r>
    </w:p>
    <w:p>
      <w:r>
        <w:rPr>
          <w:rFonts w:ascii="Calibri" w:hAnsi="Calibri"/>
          <w:b/>
          <w:color w:val="525866"/>
          <w:sz w:val="22"/>
        </w:rPr>
        <w:t xml:space="preserve">Applicability to AIG: </w:t>
      </w:r>
      <w:r>
        <w:rPr>
          <w:rFonts w:ascii="Calibri" w:hAnsi="Calibri"/>
          <w:color w:val="525866"/>
          <w:sz w:val="22"/>
        </w:rPr>
        <w:t>High for commercial property pricing dynamics and investment income trajectory; moderate for casualty reserving; lower for personal lines (AIG's personal book is smaller and more international).</w:t>
      </w:r>
    </w:p>
    <w:p>
      <w:pPr>
        <w:pStyle w:val="ListBullet"/>
        <w:ind w:left="360" w:hanging="360"/>
      </w:pPr>
      <w:r>
        <w:rPr>
          <w:rFonts w:ascii="Calibri" w:hAnsi="Calibri"/>
          <w:b/>
          <w:color w:val="525866"/>
          <w:sz w:val="22"/>
        </w:rPr>
        <w:t>Property pricing: softening concentrated in national/large account property.</w:t>
      </w:r>
      <w:r>
        <w:rPr>
          <w:rFonts w:ascii="Calibri" w:hAnsi="Calibri"/>
          <w:color w:val="525866"/>
          <w:sz w:val="22"/>
        </w:rPr>
        <w:t xml:space="preserve"> TRV's Greg Kozlowski confirmed that pricing softening is "more of a national property dynamic" and that middle market property is seeing only modest softening — "certainly not to the degree that you're seeing in the national property, in the large schedules." </w:t>
      </w:r>
    </w:p>
    <w:p>
      <w:pPr>
        <w:pStyle w:val="ListBullet"/>
        <w:ind w:left="360" w:hanging="360"/>
      </w:pPr>
      <w:r>
        <w:rPr>
          <w:rFonts w:ascii="Calibri" w:hAnsi="Calibri"/>
          <w:b/>
          <w:i/>
          <w:color w:val="525866"/>
          <w:sz w:val="22"/>
        </w:rPr>
        <w:t xml:space="preserve">AIG read-through: </w:t>
      </w:r>
      <w:r>
        <w:rPr>
          <w:rFonts w:ascii="Calibri" w:hAnsi="Calibri"/>
          <w:i/>
          <w:color w:val="525866"/>
          <w:sz w:val="22"/>
        </w:rPr>
        <w:t>Directly validates AIG's Q1 decision to actively contract the Lexington large account shared-and-layered book. The softening is concentrated in exactly the segment AIG is exiting, suggesting AIG's portfolio repositioning is well-timed. Middle market and international property (where AIG is growing) appear more stable.</w:t>
      </w:r>
    </w:p>
    <w:p>
      <w:pPr>
        <w:pStyle w:val="ListBullet"/>
        <w:ind w:left="360" w:hanging="360"/>
      </w:pPr>
      <w:r>
        <w:rPr>
          <w:rFonts w:ascii="Calibri" w:hAnsi="Calibri"/>
          <w:b/>
          <w:color w:val="525866"/>
          <w:sz w:val="22"/>
        </w:rPr>
        <w:t>Underwriting discipline: no relaxation.</w:t>
      </w:r>
      <w:r>
        <w:rPr>
          <w:rFonts w:ascii="Calibri" w:hAnsi="Calibri"/>
          <w:color w:val="525866"/>
          <w:sz w:val="22"/>
        </w:rPr>
        <w:t xml:space="preserve"> CEO Alan Schnitzer reiterated that relaxing underwriting standards to grow is "a fool's errand" and that TRV's objective is to "compete on franchise value." TRV is "passing on business where price and terms don't align with our view of the risk."</w:t>
      </w:r>
    </w:p>
    <w:p>
      <w:pPr>
        <w:pStyle w:val="ListBullet"/>
        <w:ind w:left="360" w:hanging="360"/>
      </w:pPr>
      <w:r>
        <w:rPr>
          <w:rFonts w:ascii="Calibri" w:hAnsi="Calibri"/>
          <w:b/>
          <w:i/>
          <w:color w:val="525866"/>
          <w:sz w:val="22"/>
        </w:rPr>
        <w:t xml:space="preserve">AIG read-through: </w:t>
      </w:r>
      <w:r>
        <w:rPr>
          <w:rFonts w:ascii="Calibri" w:hAnsi="Calibri"/>
          <w:i/>
          <w:color w:val="525866"/>
          <w:sz w:val="22"/>
        </w:rPr>
        <w:t>Consistent with AIG's own messaging on disciplined underwriting. Suggests the market leaders are not capitulating on pricing, which is a positive for AIG's ability to maintain combined ratio discipline.</w:t>
      </w:r>
    </w:p>
    <w:p>
      <w:pPr>
        <w:pStyle w:val="ListBullet"/>
        <w:ind w:left="360" w:hanging="360"/>
      </w:pPr>
      <w:r>
        <w:rPr>
          <w:rFonts w:ascii="Calibri" w:hAnsi="Calibri"/>
          <w:b/>
          <w:color w:val="525866"/>
          <w:sz w:val="22"/>
        </w:rPr>
        <w:t>Casualty reserving: uncertainty provision carried into 2026.</w:t>
      </w:r>
      <w:r>
        <w:rPr>
          <w:rFonts w:ascii="Calibri" w:hAnsi="Calibri"/>
          <w:color w:val="525866"/>
          <w:sz w:val="22"/>
        </w:rPr>
        <w:t xml:space="preserve"> CFO Dan Frye confirmed TRV "continued to carry" its uncertainty provision into 2026, with the assumption that "severity is going to go back to some higher, more normal long term trend." Workers' comp continues to show favorability in both frequency and severity.</w:t>
      </w:r>
    </w:p>
    <w:p>
      <w:pPr>
        <w:pStyle w:val="ListBullet"/>
        <w:ind w:left="360" w:hanging="360"/>
      </w:pPr>
      <w:r>
        <w:rPr>
          <w:rFonts w:ascii="Calibri" w:hAnsi="Calibri"/>
          <w:b/>
          <w:i/>
          <w:color w:val="525866"/>
          <w:sz w:val="22"/>
        </w:rPr>
        <w:t xml:space="preserve">AIG read-through: </w:t>
      </w:r>
      <w:r>
        <w:rPr>
          <w:rFonts w:ascii="Calibri" w:hAnsi="Calibri"/>
          <w:i/>
          <w:color w:val="525866"/>
          <w:sz w:val="22"/>
        </w:rPr>
        <w:t>A peer benchmark for AIG's own casualty reserve adequacy. If TRV is still carrying an uncertainty provision, AIG's favorable prior-year development in Financial Lines and U.S. Property (Q1: $132M favorable) may face scrutiny on sustainability.</w:t>
      </w:r>
    </w:p>
    <w:p>
      <w:pPr>
        <w:pStyle w:val="ListBullet"/>
        <w:ind w:left="360" w:hanging="360"/>
      </w:pPr>
      <w:r>
        <w:rPr>
          <w:rFonts w:ascii="Calibri" w:hAnsi="Calibri"/>
          <w:b/>
          <w:color w:val="525866"/>
          <w:sz w:val="22"/>
        </w:rPr>
        <w:t>Investment income: explicit Q3/Q4 2026 NII guidance.</w:t>
      </w:r>
      <w:r>
        <w:rPr>
          <w:rFonts w:ascii="Calibri" w:hAnsi="Calibri"/>
          <w:color w:val="525866"/>
          <w:sz w:val="22"/>
        </w:rPr>
        <w:t xml:space="preserve"> TRV guided fixed income NII of ~$840M in Q3 and ~$870M in Q4 2026, with continued growth expected beyond 2026 as "new money rates continue to be higher than the yield embedded in the portfolio."</w:t>
      </w:r>
    </w:p>
    <w:p>
      <w:pPr>
        <w:pStyle w:val="ListBullet"/>
        <w:ind w:left="360" w:hanging="360"/>
      </w:pPr>
      <w:r>
        <w:rPr>
          <w:rFonts w:ascii="Calibri" w:hAnsi="Calibri"/>
          <w:b/>
          <w:i/>
          <w:color w:val="525866"/>
          <w:sz w:val="22"/>
        </w:rPr>
        <w:t xml:space="preserve">AIG read-through: </w:t>
      </w:r>
      <w:r>
        <w:rPr>
          <w:rFonts w:ascii="Calibri" w:hAnsi="Calibri"/>
          <w:i/>
          <w:color w:val="525866"/>
          <w:sz w:val="22"/>
        </w:rPr>
        <w:t>Positive for AIG's GI NII trajectory. AIG's core fixed income portfolio grew NII nearly 20% YoY in Q1 with a new money yield ~80bps above sales/maturities. TRV's explicit guidance supports the view that fixed income NII will continue to grow for AIG in H2 2026, partially offsetting the guided weakness in Other Operations NII.</w:t>
      </w:r>
    </w:p>
    <w:p>
      <w:pPr>
        <w:pStyle w:val="ListBullet"/>
        <w:ind w:left="360" w:hanging="360"/>
      </w:pPr>
      <w:r>
        <w:rPr>
          <w:rFonts w:ascii="Calibri" w:hAnsi="Calibri"/>
          <w:b/>
          <w:color w:val="525866"/>
          <w:sz w:val="22"/>
        </w:rPr>
        <w:t>Reinsurance: July 1 northeast property Cat Zol renewed; personal lines Cat Zol not renewed.</w:t>
      </w:r>
      <w:r>
        <w:rPr>
          <w:rFonts w:ascii="Calibri" w:hAnsi="Calibri"/>
          <w:color w:val="525866"/>
          <w:sz w:val="22"/>
        </w:rPr>
        <w:t xml:space="preserve"> TRV renewed its northeast property Cat Zol treaty ($1B coverage above $2.75B attachment) but chose not to renew the personal lines Cat Zol, citing the "efficiency" of its enterprise-wide program.</w:t>
      </w:r>
    </w:p>
    <w:p>
      <w:pPr>
        <w:pStyle w:val="ListBullet"/>
        <w:ind w:left="360" w:hanging="360"/>
      </w:pPr>
      <w:r>
        <w:rPr>
          <w:rFonts w:ascii="Calibri" w:hAnsi="Calibri"/>
          <w:b/>
          <w:i/>
          <w:color w:val="525866"/>
          <w:sz w:val="22"/>
        </w:rPr>
        <w:t xml:space="preserve">AIG read-through: </w:t>
      </w:r>
      <w:r>
        <w:rPr>
          <w:rFonts w:ascii="Calibri" w:hAnsi="Calibri"/>
          <w:i/>
          <w:color w:val="525866"/>
          <w:sz w:val="22"/>
        </w:rPr>
        <w:t>Moderate applicability. AIG's reinsurance strategy is more complex (Convex quota share, Everest renewals, SPVs), but TRV's decision to optimize reinsurance structure at mid-year is consistent with the broader market trend of insurers rationalizing cat protection as property pricing softens.</w:t>
      </w:r>
    </w:p>
    <w:p>
      <w:pPr>
        <w:pStyle w:val="Heading3"/>
      </w:pPr>
      <w:r>
        <w:rPr>
          <w:rFonts w:ascii="Calibri" w:hAnsi="Calibri"/>
          <w:b/>
          <w:color w:val="3B4259"/>
          <w:sz w:val="24"/>
        </w:rPr>
        <w:t>8.2 Chubb (CB) — Q2 2026 Earnings Call (July 22, 2026)</w:t>
      </w:r>
    </w:p>
    <w:p>
      <w:r>
        <w:rPr>
          <w:rFonts w:ascii="Calibri" w:hAnsi="Calibri"/>
          <w:b/>
          <w:color w:val="525866"/>
          <w:sz w:val="22"/>
        </w:rPr>
        <w:t xml:space="preserve">Applicability to AIG: </w:t>
      </w:r>
      <w:r>
        <w:rPr>
          <w:rFonts w:ascii="Calibri" w:hAnsi="Calibri"/>
          <w:color w:val="525866"/>
          <w:sz w:val="22"/>
        </w:rPr>
        <w:t>Very high — Chubb is AIG's closest global commercial P&amp;C peer, with overlapping exposure in specialty, financial lines, casualty, and international markets. Chubb's CEO Evan Greenberg is the most direct read-through for AIG's market environment.</w:t>
      </w:r>
    </w:p>
    <w:p>
      <w:pPr>
        <w:pStyle w:val="ListBullet"/>
        <w:ind w:left="360" w:hanging="360"/>
      </w:pPr>
      <w:r>
        <w:rPr>
          <w:rFonts w:ascii="Calibri" w:hAnsi="Calibri"/>
          <w:b/>
          <w:color w:val="525866"/>
          <w:sz w:val="22"/>
        </w:rPr>
        <w:t>Casualty softening spreading beyond property.</w:t>
      </w:r>
      <w:r>
        <w:rPr>
          <w:rFonts w:ascii="Calibri" w:hAnsi="Calibri"/>
          <w:color w:val="525866"/>
          <w:sz w:val="22"/>
        </w:rPr>
        <w:t xml:space="preserve"> Greenberg warned that "soft market conditions have begun to spread beyond property to more casualty lines, particularly in certain classes of large account middle market." He stated that "pricing in certain areas of casualty are failing to keep pace with lost costs, which are hardly benign."</w:t>
      </w:r>
    </w:p>
    <w:p>
      <w:pPr>
        <w:pStyle w:val="ListBullet"/>
        <w:ind w:left="360" w:hanging="360"/>
      </w:pPr>
      <w:r>
        <w:rPr>
          <w:rFonts w:ascii="Calibri" w:hAnsi="Calibri"/>
          <w:b/>
          <w:i/>
          <w:color w:val="525866"/>
          <w:sz w:val="22"/>
        </w:rPr>
        <w:t xml:space="preserve">AIG read-through: </w:t>
      </w:r>
      <w:r>
        <w:rPr>
          <w:rFonts w:ascii="Calibri" w:hAnsi="Calibri"/>
          <w:i/>
          <w:color w:val="525866"/>
          <w:sz w:val="22"/>
        </w:rPr>
        <w:t>A direct and important signal for AIG's North America Commercial casualty book. AIG reported Q1 North America Commercial casualty pricing up 7–14% (Retail Excess Casualty +14%, Lexington Casualty +8%), but Chubb's commentary suggests the competitive environment is intensifying. AIG's Q2 casualty pricing trends will be closely watched.</w:t>
      </w:r>
    </w:p>
    <w:p>
      <w:pPr>
        <w:pStyle w:val="ListBullet"/>
        <w:ind w:left="360" w:hanging="360"/>
      </w:pPr>
      <w:r>
        <w:rPr>
          <w:rFonts w:ascii="Calibri" w:hAnsi="Calibri"/>
          <w:b/>
          <w:color w:val="525866"/>
          <w:sz w:val="22"/>
        </w:rPr>
        <w:t>Financial lines: market "continues to be soft."</w:t>
      </w:r>
      <w:r>
        <w:rPr>
          <w:rFonts w:ascii="Calibri" w:hAnsi="Calibri"/>
          <w:color w:val="525866"/>
          <w:sz w:val="22"/>
        </w:rPr>
        <w:t xml:space="preserve"> Greenberg noted that "naive newer players, particularly financial lines MGAs and smaller companies, are underwriting at prices and terms that are inadequate," with brokers "securing coverage terms that experienced underwriters discontinued years ago."</w:t>
      </w:r>
    </w:p>
    <w:p>
      <w:pPr>
        <w:pStyle w:val="ListBullet"/>
        <w:ind w:left="360" w:hanging="360"/>
      </w:pPr>
      <w:r>
        <w:rPr>
          <w:rFonts w:ascii="Calibri" w:hAnsi="Calibri"/>
          <w:b/>
          <w:i/>
          <w:color w:val="525866"/>
          <w:sz w:val="22"/>
        </w:rPr>
        <w:t xml:space="preserve">AIG read-through: </w:t>
      </w:r>
      <w:r>
        <w:rPr>
          <w:rFonts w:ascii="Calibri" w:hAnsi="Calibri"/>
          <w:i/>
          <w:color w:val="525866"/>
          <w:sz w:val="22"/>
        </w:rPr>
        <w:t>Directly applicable. AIG's Q1 U.S. Financial Lines pricing was "flat" (reflecting moderation of D&amp;O price reductions). Chubb's commentary suggests the competitive dynamic in financial lines is worsening, which could pressure AIG's Financial Lines NPW growth in Q2.</w:t>
      </w:r>
    </w:p>
    <w:p>
      <w:pPr>
        <w:pStyle w:val="ListBullet"/>
        <w:ind w:left="360" w:hanging="360"/>
      </w:pPr>
      <w:r>
        <w:rPr>
          <w:rFonts w:ascii="Calibri" w:hAnsi="Calibri"/>
          <w:b/>
          <w:color w:val="525866"/>
          <w:sz w:val="22"/>
        </w:rPr>
        <w:t>London market writing U.S. casualty aggressively.</w:t>
      </w:r>
      <w:r>
        <w:rPr>
          <w:rFonts w:ascii="Calibri" w:hAnsi="Calibri"/>
          <w:color w:val="525866"/>
          <w:sz w:val="22"/>
        </w:rPr>
        <w:t xml:space="preserve"> Greenberg flagged that "London is actively writing U.S. casualty for the last few quarters, a movie we have seen before. The volume is growing and it rates in terms that can only end one way."</w:t>
      </w:r>
    </w:p>
    <w:p>
      <w:pPr>
        <w:pStyle w:val="ListBullet"/>
        <w:ind w:left="360" w:hanging="360"/>
      </w:pPr>
      <w:r>
        <w:rPr>
          <w:rFonts w:ascii="Calibri" w:hAnsi="Calibri"/>
          <w:b/>
          <w:i/>
          <w:color w:val="525866"/>
          <w:sz w:val="22"/>
        </w:rPr>
        <w:t xml:space="preserve">AIG read-through: </w:t>
      </w:r>
      <w:r>
        <w:rPr>
          <w:rFonts w:ascii="Calibri" w:hAnsi="Calibri"/>
          <w:i/>
          <w:color w:val="525866"/>
          <w:sz w:val="22"/>
        </w:rPr>
        <w:t>Relevant for AIG's Lexington E&amp;S casualty book and its international commercial operations. The influx of London capacity into U.S. casualty is a competitive headwind for AIG's E&amp;S casualty pricing.</w:t>
      </w:r>
    </w:p>
    <w:p>
      <w:pPr>
        <w:pStyle w:val="ListBullet"/>
        <w:ind w:left="360" w:hanging="360"/>
      </w:pPr>
      <w:r>
        <w:rPr>
          <w:rFonts w:ascii="Calibri" w:hAnsi="Calibri"/>
          <w:b/>
          <w:color w:val="525866"/>
          <w:sz w:val="22"/>
        </w:rPr>
        <w:t>U.S. casualty loss costs: 6–7% primary, 9–12% excess, per year.</w:t>
      </w:r>
      <w:r>
        <w:rPr>
          <w:rFonts w:ascii="Calibri" w:hAnsi="Calibri"/>
          <w:color w:val="525866"/>
          <w:sz w:val="22"/>
        </w:rPr>
        <w:t xml:space="preserve"> Greenberg stated: "U.S. casualty loss costs are rising at a pretty steady 6 to 7% for primary casualty, and 9 to 12% for excess, and that's per year." He strongly refuted the notion of abating loss costs: "There is zero evidence across the industry that loss costs have abated. They're continuing to inflate at a steady rate."</w:t>
      </w:r>
    </w:p>
    <w:p>
      <w:pPr>
        <w:pStyle w:val="ListBullet"/>
        <w:ind w:left="360" w:hanging="360"/>
      </w:pPr>
      <w:r>
        <w:rPr>
          <w:rFonts w:ascii="Calibri" w:hAnsi="Calibri"/>
          <w:b/>
          <w:i/>
          <w:color w:val="525866"/>
          <w:sz w:val="22"/>
        </w:rPr>
        <w:t xml:space="preserve">AIG read-through: </w:t>
      </w:r>
      <w:r>
        <w:rPr>
          <w:rFonts w:ascii="Calibri" w:hAnsi="Calibri"/>
          <w:i/>
          <w:color w:val="525866"/>
          <w:sz w:val="22"/>
        </w:rPr>
        <w:t>This is the most important read-through from Chubb for AIG. AIG's Q1 North America Commercial accident year loss ratio was up 90bps YoY due to business mix changes. If casualty loss costs are running at 6–12% annually, AIG's pricing adequacy in casualty will be a key focus on the Q2 call. Favorable prior-year development in Financial Lines may not be sustainable if underlying loss trends are this elevated.</w:t>
      </w:r>
    </w:p>
    <w:p>
      <w:pPr>
        <w:pStyle w:val="ListBullet"/>
        <w:ind w:left="360" w:hanging="360"/>
      </w:pPr>
      <w:r>
        <w:rPr>
          <w:rFonts w:ascii="Calibri" w:hAnsi="Calibri"/>
          <w:b/>
          <w:color w:val="525866"/>
          <w:sz w:val="22"/>
        </w:rPr>
        <w:t>Underwriting discipline: shedding large account property.</w:t>
      </w:r>
      <w:r>
        <w:rPr>
          <w:rFonts w:ascii="Calibri" w:hAnsi="Calibri"/>
          <w:color w:val="525866"/>
          <w:sz w:val="22"/>
        </w:rPr>
        <w:t xml:space="preserve"> Chubb "again shed a significant volume of premium property" in U.S. large account and ONS property, citing inadequate pricing or terms.</w:t>
      </w:r>
    </w:p>
    <w:p>
      <w:pPr>
        <w:pStyle w:val="ListBullet"/>
        <w:ind w:left="360" w:hanging="360"/>
      </w:pPr>
      <w:r>
        <w:rPr>
          <w:rFonts w:ascii="Calibri" w:hAnsi="Calibri"/>
          <w:b/>
          <w:i/>
          <w:color w:val="525866"/>
          <w:sz w:val="22"/>
        </w:rPr>
        <w:t xml:space="preserve">AIG read-through: </w:t>
      </w:r>
      <w:r>
        <w:rPr>
          <w:rFonts w:ascii="Calibri" w:hAnsi="Calibri"/>
          <w:i/>
          <w:color w:val="525866"/>
          <w:sz w:val="22"/>
        </w:rPr>
        <w:t>Validates AIG's Lexington large account contraction strategy. Both Chubb and AIG are making the same disciplined call to exit inadequately priced large account property.</w:t>
      </w:r>
    </w:p>
    <w:p>
      <w:pPr>
        <w:pStyle w:val="ListBullet"/>
        <w:ind w:left="360" w:hanging="360"/>
      </w:pPr>
      <w:r>
        <w:rPr>
          <w:rFonts w:ascii="Calibri" w:hAnsi="Calibri"/>
          <w:b/>
          <w:color w:val="525866"/>
          <w:sz w:val="22"/>
        </w:rPr>
        <w:t>Investment income: fixed income NII "consistent and growing."</w:t>
      </w:r>
      <w:r>
        <w:rPr>
          <w:rFonts w:ascii="Calibri" w:hAnsi="Calibri"/>
          <w:color w:val="525866"/>
          <w:sz w:val="22"/>
        </w:rPr>
        <w:t xml:space="preserve"> CIO Chris Hogan described the current environment as "an ideal environment for investment grade bond investors" but cautioned that "financial assets in many markets are expensive and priced to perfection" and that "longer term yields remain exposed to structural pressures."</w:t>
      </w:r>
    </w:p>
    <w:p>
      <w:pPr>
        <w:pStyle w:val="ListBullet"/>
        <w:ind w:left="360" w:hanging="360"/>
      </w:pPr>
      <w:r>
        <w:rPr>
          <w:rFonts w:ascii="Calibri" w:hAnsi="Calibri"/>
          <w:b/>
          <w:i/>
          <w:color w:val="525866"/>
          <w:sz w:val="22"/>
        </w:rPr>
        <w:t xml:space="preserve">AIG read-through: </w:t>
      </w:r>
      <w:r>
        <w:rPr>
          <w:rFonts w:ascii="Calibri" w:hAnsi="Calibri"/>
          <w:i/>
          <w:color w:val="525866"/>
          <w:sz w:val="22"/>
        </w:rPr>
        <w:t>Broadly positive for AIG's GI NII trajectory, but the caution on long-term yield pressures is relevant for AIG's portfolio duration management and alternative investment income outlook.</w:t>
      </w:r>
    </w:p>
    <w:p>
      <w:pPr>
        <w:pStyle w:val="Heading3"/>
      </w:pPr>
      <w:r>
        <w:rPr>
          <w:rFonts w:ascii="Calibri" w:hAnsi="Calibri"/>
          <w:b/>
          <w:color w:val="3B4259"/>
          <w:sz w:val="24"/>
        </w:rPr>
        <w:t>8.3 The Hartford (HIG) — Q2 2026 Earnings Call (July 24, 2026)</w:t>
      </w:r>
    </w:p>
    <w:p>
      <w:r>
        <w:rPr>
          <w:rFonts w:ascii="Calibri" w:hAnsi="Calibri"/>
          <w:b/>
          <w:color w:val="525866"/>
          <w:sz w:val="22"/>
        </w:rPr>
        <w:t xml:space="preserve">Applicability to AIG: </w:t>
      </w:r>
      <w:r>
        <w:rPr>
          <w:rFonts w:ascii="Calibri" w:hAnsi="Calibri"/>
          <w:color w:val="525866"/>
          <w:sz w:val="22"/>
        </w:rPr>
        <w:t>High for commercial P&amp;C pricing and reserve trends; moderate for personal lines (HIG's personal book is more U.S.-centric than AIG's); lower for specialty/international lines where AIG has greater exposure.</w:t>
      </w:r>
    </w:p>
    <w:p>
      <w:pPr>
        <w:pStyle w:val="ListBullet"/>
        <w:ind w:left="360" w:hanging="360"/>
      </w:pPr>
      <w:r>
        <w:rPr>
          <w:rFonts w:ascii="Calibri" w:hAnsi="Calibri"/>
          <w:b/>
          <w:color w:val="525866"/>
          <w:sz w:val="22"/>
        </w:rPr>
        <w:t>Property pricing moderating but still profitable.</w:t>
      </w:r>
      <w:r>
        <w:rPr>
          <w:rFonts w:ascii="Calibri" w:hAnsi="Calibri"/>
          <w:color w:val="525866"/>
          <w:sz w:val="22"/>
        </w:rPr>
        <w:t xml:space="preserve"> CEO Chris Swift stated that "property pricing continues to moderate" but remains "a highly profitable line" and "still an attractive area for growth." HIG expects to "grow our overall property book in the mid-single digits" through year-end.</w:t>
      </w:r>
    </w:p>
    <w:p>
      <w:pPr>
        <w:pStyle w:val="ListBullet"/>
        <w:ind w:left="360" w:hanging="360"/>
      </w:pPr>
      <w:r>
        <w:rPr>
          <w:rFonts w:ascii="Calibri" w:hAnsi="Calibri"/>
          <w:b/>
          <w:i/>
          <w:color w:val="525866"/>
          <w:sz w:val="22"/>
        </w:rPr>
        <w:t xml:space="preserve">AIG read-through: </w:t>
      </w:r>
      <w:r>
        <w:rPr>
          <w:rFonts w:ascii="Calibri" w:hAnsi="Calibri"/>
          <w:i/>
          <w:color w:val="525866"/>
          <w:sz w:val="22"/>
        </w:rPr>
        <w:t>Consistent with AIG's own commentary. AIG's international property and U.S. retail property portfolios (combined ratios in the low-to-mid 70s in 2024–25) remain highly profitable even as pricing moderates. The mid-single-digit growth expectation from HIG supports AIG's ability to grow its non-Lexington property book.</w:t>
      </w:r>
    </w:p>
    <w:p>
      <w:pPr>
        <w:pStyle w:val="ListBullet"/>
        <w:ind w:left="360" w:hanging="360"/>
      </w:pPr>
      <w:r>
        <w:rPr>
          <w:rFonts w:ascii="Calibri" w:hAnsi="Calibri"/>
          <w:b/>
          <w:color w:val="525866"/>
          <w:sz w:val="22"/>
        </w:rPr>
        <w:t>Middle and large commercial: competition picking up in GL and workers' comp.</w:t>
      </w:r>
      <w:r>
        <w:rPr>
          <w:rFonts w:ascii="Calibri" w:hAnsi="Calibri"/>
          <w:color w:val="525866"/>
          <w:sz w:val="22"/>
        </w:rPr>
        <w:t xml:space="preserve"> HIG's management noted "increasing pressure in the second quarter" in GL and workers' compensation in the middle and large commercial space, with competition picking up in a way that "will impact our growth in the second half of the year."</w:t>
      </w:r>
    </w:p>
    <w:p>
      <w:pPr>
        <w:pStyle w:val="ListBullet"/>
        <w:ind w:left="360" w:hanging="360"/>
      </w:pPr>
      <w:r>
        <w:rPr>
          <w:rFonts w:ascii="Calibri" w:hAnsi="Calibri"/>
          <w:b/>
          <w:i/>
          <w:color w:val="525866"/>
          <w:sz w:val="22"/>
        </w:rPr>
        <w:t xml:space="preserve">AIG read-through: </w:t>
      </w:r>
      <w:r>
        <w:rPr>
          <w:rFonts w:ascii="Calibri" w:hAnsi="Calibri"/>
          <w:i/>
          <w:color w:val="525866"/>
          <w:sz w:val="22"/>
        </w:rPr>
        <w:t>Relevant for AIG's North America Commercial casualty book. AIG's Lexington Casualty pricing was up 8% in Q1, but HIG's commentary suggests the competitive environment is intensifying in GL and workers' comp — lines where AIG also has meaningful exposure.</w:t>
      </w:r>
    </w:p>
    <w:p>
      <w:pPr>
        <w:pStyle w:val="ListBullet"/>
        <w:ind w:left="360" w:hanging="360"/>
      </w:pPr>
      <w:r>
        <w:rPr>
          <w:rFonts w:ascii="Calibri" w:hAnsi="Calibri"/>
          <w:b/>
          <w:color w:val="525866"/>
          <w:sz w:val="22"/>
        </w:rPr>
        <w:t>Reserve adjustments in GL and commercial auto.</w:t>
      </w:r>
      <w:r>
        <w:rPr>
          <w:rFonts w:ascii="Calibri" w:hAnsi="Calibri"/>
          <w:color w:val="525866"/>
          <w:sz w:val="22"/>
        </w:rPr>
        <w:t xml:space="preserve"> HIG increased prior-year GL reserves by $46M across multiple accident years due to "elevated large loss activity" and increased commercial auto liability reserves due to "adverse loss development within accident years 2023 and 2024, driven by higher severity" and "more attorney involvement." CFO Beth Costello noted these adjustments did not materially change HIG's overall loss trend view.</w:t>
      </w:r>
    </w:p>
    <w:p>
      <w:pPr>
        <w:pStyle w:val="ListBullet"/>
        <w:ind w:left="360" w:hanging="360"/>
      </w:pPr>
      <w:r>
        <w:rPr>
          <w:rFonts w:ascii="Calibri" w:hAnsi="Calibri"/>
          <w:b/>
          <w:i/>
          <w:color w:val="525866"/>
          <w:sz w:val="22"/>
        </w:rPr>
        <w:t xml:space="preserve">AIG read-through: </w:t>
      </w:r>
      <w:r>
        <w:rPr>
          <w:rFonts w:ascii="Calibri" w:hAnsi="Calibri"/>
          <w:i/>
          <w:color w:val="525866"/>
          <w:sz w:val="22"/>
        </w:rPr>
        <w:t>An important signal for AIG's casualty reserve adequacy. AIG reported $132M of favorable prior-year development in Q1, primarily in U.S. Property and Financial Lines. HIG's adverse development in GL and commercial auto suggests that casualty reserve releases may be harder to sustain industry-wide. AIG's Q2 reserve development in casualty lines will be closely scrutinized.</w:t>
      </w:r>
    </w:p>
    <w:p>
      <w:pPr>
        <w:pStyle w:val="ListBullet"/>
        <w:ind w:left="360" w:hanging="360"/>
      </w:pPr>
      <w:r>
        <w:rPr>
          <w:rFonts w:ascii="Calibri" w:hAnsi="Calibri"/>
          <w:b/>
          <w:color w:val="525866"/>
          <w:sz w:val="22"/>
        </w:rPr>
        <w:t>Shared-and-layered large property book shrunk to less than $25M.</w:t>
      </w:r>
      <w:r>
        <w:rPr>
          <w:rFonts w:ascii="Calibri" w:hAnsi="Calibri"/>
          <w:color w:val="525866"/>
          <w:sz w:val="22"/>
        </w:rPr>
        <w:t xml:space="preserve"> HIG's management noted their "shared and layered book within our large property segment in middle and large... is now less than $25 million. So we really have shrunk that just because that is the part of the market that is falling quicker and it just doesn't meet our benchmarks anymore."</w:t>
      </w:r>
    </w:p>
    <w:p>
      <w:pPr>
        <w:pStyle w:val="ListBullet"/>
        <w:ind w:left="360" w:hanging="360"/>
      </w:pPr>
      <w:r>
        <w:rPr>
          <w:rFonts w:ascii="Calibri" w:hAnsi="Calibri"/>
          <w:b/>
          <w:i/>
          <w:color w:val="525866"/>
          <w:sz w:val="22"/>
        </w:rPr>
        <w:t xml:space="preserve">AIG read-through: </w:t>
      </w:r>
      <w:r>
        <w:rPr>
          <w:rFonts w:ascii="Calibri" w:hAnsi="Calibri"/>
          <w:i/>
          <w:color w:val="525866"/>
          <w:sz w:val="22"/>
        </w:rPr>
        <w:t>Directly validates AIG's Lexington large account contraction. HIG has already completed the exit that AIG is in the process of executing, suggesting AIG's strategy is industry-standard and well-timed.</w:t>
      </w:r>
    </w:p>
    <w:p>
      <w:pPr>
        <w:pStyle w:val="ListBullet"/>
        <w:ind w:left="360" w:hanging="360"/>
      </w:pPr>
      <w:r>
        <w:rPr>
          <w:rFonts w:ascii="Calibri" w:hAnsi="Calibri"/>
          <w:b/>
          <w:color w:val="525866"/>
          <w:sz w:val="22"/>
        </w:rPr>
        <w:t>Investment income: stable H2 2026 outlook.</w:t>
      </w:r>
      <w:r>
        <w:rPr>
          <w:rFonts w:ascii="Calibri" w:hAnsi="Calibri"/>
          <w:color w:val="525866"/>
          <w:sz w:val="22"/>
        </w:rPr>
        <w:t xml:space="preserve"> HIG expects "limited partnership returns to remain generally consistent with the average annualized return achieved in the first half of the year" and "net investment income to increase" for full year 2026, "supported by growth in invested assets, with overall portfolio yields expected to remain broadly in line with 2025."</w:t>
      </w:r>
    </w:p>
    <w:p>
      <w:pPr>
        <w:pStyle w:val="ListBullet"/>
        <w:ind w:left="360" w:hanging="360"/>
      </w:pPr>
      <w:r>
        <w:rPr>
          <w:rFonts w:ascii="Calibri" w:hAnsi="Calibri"/>
          <w:b/>
          <w:i/>
          <w:color w:val="525866"/>
          <w:sz w:val="22"/>
        </w:rPr>
        <w:t xml:space="preserve">AIG read-through: </w:t>
      </w:r>
      <w:r>
        <w:rPr>
          <w:rFonts w:ascii="Calibri" w:hAnsi="Calibri"/>
          <w:i/>
          <w:color w:val="525866"/>
          <w:sz w:val="22"/>
        </w:rPr>
        <w:t>Broadly positive for AIG's GI NII. However, HIG's caution on "further geopolitical and economic volatility" affecting limited partnership returns is directly applicable to AIG's alternative investment income, which management already guided would remain below long-term expectations in Q2.</w:t>
      </w:r>
    </w:p>
    <w:p>
      <w:pPr>
        <w:pStyle w:val="ListBullet"/>
        <w:ind w:left="360" w:hanging="360"/>
      </w:pPr>
      <w:r>
        <w:rPr>
          <w:rFonts w:ascii="Calibri" w:hAnsi="Calibri"/>
          <w:b/>
          <w:color w:val="525866"/>
          <w:sz w:val="22"/>
        </w:rPr>
        <w:t>AI investments driving expense ratio improvement.</w:t>
      </w:r>
      <w:r>
        <w:rPr>
          <w:rFonts w:ascii="Calibri" w:hAnsi="Calibri"/>
          <w:color w:val="525866"/>
          <w:sz w:val="22"/>
        </w:rPr>
        <w:t xml:space="preserve"> HIG is making "significant investments" in AI across underwriting, customer-facing activities, and claims, expecting these to "improve loss and expense ratios generally."</w:t>
      </w:r>
    </w:p>
    <w:p>
      <w:pPr>
        <w:pStyle w:val="ListBullet"/>
        <w:ind w:left="360" w:hanging="360"/>
      </w:pPr>
      <w:r>
        <w:rPr>
          <w:rFonts w:ascii="Calibri" w:hAnsi="Calibri"/>
          <w:b/>
          <w:i/>
          <w:color w:val="525866"/>
          <w:sz w:val="22"/>
        </w:rPr>
        <w:t xml:space="preserve">AIG read-through: </w:t>
      </w:r>
      <w:r>
        <w:rPr>
          <w:rFonts w:ascii="Calibri" w:hAnsi="Calibri"/>
          <w:i/>
          <w:color w:val="525866"/>
          <w:sz w:val="22"/>
        </w:rPr>
        <w:t>Consistent with AIG's own GenAI strategy (Palantir/Anthropic partnership). The industry-wide AI investment trend supports AIG's expense ratio improvement narrative, though AIG appears to be further along in deployment (active beta testing vs. HIG's investment phase).</w:t>
      </w:r>
    </w:p>
    <w:p>
      <w:pPr>
        <w:pStyle w:val="Heading3"/>
      </w:pPr>
      <w:r>
        <w:rPr>
          <w:rFonts w:ascii="Calibri" w:hAnsi="Calibri"/>
          <w:b/>
          <w:color w:val="3B4259"/>
          <w:sz w:val="24"/>
        </w:rPr>
        <w:t>8.4 W.R. Berkley (WRB) — Q2 2026 Earnings Call (July 20, 2026)</w:t>
      </w:r>
    </w:p>
    <w:p>
      <w:r>
        <w:rPr>
          <w:rFonts w:ascii="Calibri" w:hAnsi="Calibri"/>
          <w:b/>
          <w:color w:val="525866"/>
          <w:sz w:val="22"/>
        </w:rPr>
        <w:t xml:space="preserve">Applicability to AIG: </w:t>
      </w:r>
      <w:r>
        <w:rPr>
          <w:rFonts w:ascii="Calibri" w:hAnsi="Calibri"/>
          <w:color w:val="525866"/>
          <w:sz w:val="22"/>
        </w:rPr>
        <w:t>High for E&amp;S/specialty market dynamics and property cycle commentary; moderate for casualty; lower for international lines (WRB is more U.S.-focused than AIG).</w:t>
      </w:r>
    </w:p>
    <w:p>
      <w:pPr>
        <w:pStyle w:val="ListBullet"/>
        <w:ind w:left="360" w:hanging="360"/>
      </w:pPr>
      <w:r>
        <w:rPr>
          <w:rFonts w:ascii="Calibri" w:hAnsi="Calibri"/>
          <w:b/>
          <w:color w:val="525866"/>
          <w:sz w:val="22"/>
        </w:rPr>
        <w:t>Property market: "greatest stupidity" in shared-and-layered.</w:t>
      </w:r>
      <w:r>
        <w:rPr>
          <w:rFonts w:ascii="Calibri" w:hAnsi="Calibri"/>
          <w:color w:val="525866"/>
          <w:sz w:val="22"/>
        </w:rPr>
        <w:t xml:space="preserve"> CEO Rob Berkley stated that "the greatest stupidity can be found most easily in the property arena. Shared and layered... is particularly concerning." He warned that "Mother Nature is lulling the property market into a false sense of comfort" and that for those "weighted towards certain lines such as property, it is going to get tougher before it gets easier."</w:t>
      </w:r>
    </w:p>
    <w:p>
      <w:pPr>
        <w:pStyle w:val="ListBullet"/>
        <w:ind w:left="360" w:hanging="360"/>
      </w:pPr>
      <w:r>
        <w:rPr>
          <w:rFonts w:ascii="Calibri" w:hAnsi="Calibri"/>
          <w:b/>
          <w:i/>
          <w:color w:val="525866"/>
          <w:sz w:val="22"/>
        </w:rPr>
        <w:t xml:space="preserve">AIG read-through: </w:t>
      </w:r>
      <w:r>
        <w:rPr>
          <w:rFonts w:ascii="Calibri" w:hAnsi="Calibri"/>
          <w:i/>
          <w:color w:val="525866"/>
          <w:sz w:val="22"/>
        </w:rPr>
        <w:t>Strongly validates AIG's decision to exit the Lexington large account shared-and-layered book. WRB's colorful language underscores the severity of pricing inadequacy in this segment. AIG's proactive exit positions it well for when the cycle turns.</w:t>
      </w:r>
    </w:p>
    <w:p>
      <w:pPr>
        <w:pStyle w:val="ListBullet"/>
        <w:ind w:left="360" w:hanging="360"/>
      </w:pPr>
      <w:r>
        <w:rPr>
          <w:rFonts w:ascii="Calibri" w:hAnsi="Calibri"/>
          <w:b/>
          <w:color w:val="525866"/>
          <w:sz w:val="22"/>
        </w:rPr>
        <w:t>Casualty market: broadly attractive with exceptions.</w:t>
      </w:r>
      <w:r>
        <w:rPr>
          <w:rFonts w:ascii="Calibri" w:hAnsi="Calibri"/>
          <w:color w:val="525866"/>
          <w:sz w:val="22"/>
        </w:rPr>
        <w:t xml:space="preserve"> Berkley stated that "the broader casualty market overall, with a few exceptions, remains attractive." Exceptions include habitational and liquor liability, where rates are being cut by "20, 30%." Other liability and E&amp;S casualty continue to offer growth opportunities.</w:t>
      </w:r>
    </w:p>
    <w:p>
      <w:pPr>
        <w:pStyle w:val="ListBullet"/>
        <w:ind w:left="360" w:hanging="360"/>
      </w:pPr>
      <w:r>
        <w:rPr>
          <w:rFonts w:ascii="Calibri" w:hAnsi="Calibri"/>
          <w:b/>
          <w:i/>
          <w:color w:val="525866"/>
          <w:sz w:val="22"/>
        </w:rPr>
        <w:t xml:space="preserve">AIG read-through: </w:t>
      </w:r>
      <w:r>
        <w:rPr>
          <w:rFonts w:ascii="Calibri" w:hAnsi="Calibri"/>
          <w:i/>
          <w:color w:val="525866"/>
          <w:sz w:val="22"/>
        </w:rPr>
        <w:t>Positive for AIG's casualty book. AIG's Lexington Casualty (+8% pricing) and Retail Excess Casualty (+14% pricing) are in the segments WRB describes as attractive. The exceptions (habitational, liquor) are not material AIG lines.</w:t>
      </w:r>
    </w:p>
    <w:p>
      <w:pPr>
        <w:pStyle w:val="ListBullet"/>
        <w:ind w:left="360" w:hanging="360"/>
      </w:pPr>
      <w:r>
        <w:rPr>
          <w:rFonts w:ascii="Calibri" w:hAnsi="Calibri"/>
          <w:b/>
          <w:color w:val="525866"/>
          <w:sz w:val="22"/>
        </w:rPr>
        <w:t>Rate increase ex-workers' comp: 3.8% in Q2.</w:t>
      </w:r>
      <w:r>
        <w:rPr>
          <w:rFonts w:ascii="Calibri" w:hAnsi="Calibri"/>
          <w:color w:val="525866"/>
          <w:sz w:val="22"/>
        </w:rPr>
        <w:t xml:space="preserve"> WRB reported overall rate increase of 3.8% excluding workers' comp, with early July returns "reasonably encouraging." Berkley noted the company has "considerable room in the rate to adjust" if margins remain attractive, and does not expect rates to "fall off considerably from here."</w:t>
      </w:r>
    </w:p>
    <w:p>
      <w:pPr>
        <w:pStyle w:val="ListBullet"/>
        <w:ind w:left="360" w:hanging="360"/>
      </w:pPr>
      <w:r>
        <w:rPr>
          <w:rFonts w:ascii="Calibri" w:hAnsi="Calibri"/>
          <w:b/>
          <w:i/>
          <w:color w:val="525866"/>
          <w:sz w:val="22"/>
        </w:rPr>
        <w:t xml:space="preserve">AIG read-through: </w:t>
      </w:r>
      <w:r>
        <w:rPr>
          <w:rFonts w:ascii="Calibri" w:hAnsi="Calibri"/>
          <w:i/>
          <w:color w:val="525866"/>
          <w:sz w:val="22"/>
        </w:rPr>
        <w:t>Broadly positive for AIG's pricing environment. WRB's 3.8% overall rate increase (ex-comp) is consistent with AIG's Q1 North America Commercial ex-property pricing of +7%, suggesting AIG is achieving above-market rate in its targeted segments.</w:t>
      </w:r>
    </w:p>
    <w:p>
      <w:pPr>
        <w:pStyle w:val="ListBullet"/>
        <w:ind w:left="360" w:hanging="360"/>
      </w:pPr>
      <w:r>
        <w:rPr>
          <w:rFonts w:ascii="Calibri" w:hAnsi="Calibri"/>
          <w:b/>
          <w:color w:val="525866"/>
          <w:sz w:val="22"/>
        </w:rPr>
        <w:t>MGU model: "ultimately going to end in tears."</w:t>
      </w:r>
      <w:r>
        <w:rPr>
          <w:rFonts w:ascii="Calibri" w:hAnsi="Calibri"/>
          <w:color w:val="525866"/>
          <w:sz w:val="22"/>
        </w:rPr>
        <w:t xml:space="preserve"> Berkley expressed "great concern around much of the MGU model" and believes it "ultimately is going to end in tears for some market participants." He described the MGU model as the "bigger thorn in the side of the marketplace" vs. admitted market competition.</w:t>
      </w:r>
    </w:p>
    <w:p>
      <w:pPr>
        <w:pStyle w:val="ListBullet"/>
        <w:ind w:left="360" w:hanging="360"/>
      </w:pPr>
      <w:r>
        <w:rPr>
          <w:rFonts w:ascii="Calibri" w:hAnsi="Calibri"/>
          <w:b/>
          <w:i/>
          <w:color w:val="525866"/>
          <w:sz w:val="22"/>
        </w:rPr>
        <w:t xml:space="preserve">AIG read-through: </w:t>
      </w:r>
      <w:r>
        <w:rPr>
          <w:rFonts w:ascii="Calibri" w:hAnsi="Calibri"/>
          <w:i/>
          <w:color w:val="525866"/>
          <w:sz w:val="22"/>
        </w:rPr>
        <w:t>Relevant for AIG's Lexington E&amp;S franchise. AIG's Lexington is a direct underwriter (not an MGA), which positions it favorably when MGA-written business eventually faces adverse development. AIG's underwriting discipline vs. MGA competitors is a long-term competitive advantage.</w:t>
      </w:r>
    </w:p>
    <w:p>
      <w:pPr>
        <w:pStyle w:val="ListBullet"/>
        <w:ind w:left="360" w:hanging="360"/>
      </w:pPr>
      <w:r>
        <w:rPr>
          <w:rFonts w:ascii="Calibri" w:hAnsi="Calibri"/>
          <w:b/>
          <w:color w:val="525866"/>
          <w:sz w:val="22"/>
        </w:rPr>
        <w:t>Investment income: "pretty clear sight to an even better spot."</w:t>
      </w:r>
      <w:r>
        <w:rPr>
          <w:rFonts w:ascii="Calibri" w:hAnsi="Calibri"/>
          <w:color w:val="525866"/>
          <w:sz w:val="22"/>
        </w:rPr>
        <w:t xml:space="preserve"> WRB's domestic book yield is 4.8%, with new money rates "comfortably starting with a five," providing meaningful upside. Duration extended to 3.2 years (vs. 3.9-year average reserve life), with room to extend further.</w:t>
      </w:r>
    </w:p>
    <w:p>
      <w:pPr>
        <w:pStyle w:val="ListBullet"/>
        <w:ind w:left="360" w:hanging="360"/>
      </w:pPr>
      <w:r>
        <w:rPr>
          <w:rFonts w:ascii="Calibri" w:hAnsi="Calibri"/>
          <w:b/>
          <w:i/>
          <w:color w:val="525866"/>
          <w:sz w:val="22"/>
        </w:rPr>
        <w:t xml:space="preserve">AIG read-through: </w:t>
      </w:r>
      <w:r>
        <w:rPr>
          <w:rFonts w:ascii="Calibri" w:hAnsi="Calibri"/>
          <w:i/>
          <w:color w:val="525866"/>
          <w:sz w:val="22"/>
        </w:rPr>
        <w:t>Positive for AIG's NII trajectory. AIG's Q1 annualized yield was 4.61% with new money yield ~80bps above sales/maturities, consistent with WRB's dynamic. The industry-wide NII tailwind from portfolio reinvestment supports AIG's GI NII growth outlook.</w:t>
      </w:r>
    </w:p>
    <w:p>
      <w:pPr>
        <w:pStyle w:val="ListBullet"/>
        <w:ind w:left="360" w:hanging="360"/>
      </w:pPr>
      <w:r>
        <w:rPr>
          <w:rFonts w:ascii="Calibri" w:hAnsi="Calibri"/>
          <w:b/>
          <w:color w:val="525866"/>
          <w:sz w:val="22"/>
        </w:rPr>
        <w:t>Workers' comp: California leading the cycle turn.</w:t>
      </w:r>
      <w:r>
        <w:rPr>
          <w:rFonts w:ascii="Calibri" w:hAnsi="Calibri"/>
          <w:color w:val="525866"/>
          <w:sz w:val="22"/>
        </w:rPr>
        <w:t xml:space="preserve"> Berkley believes California workers' comp is "ahead of the rest of the country" in the cycle, with the 2025 accident year running at a 129 combined ratio and "growing catalyst for a shift in behavior."</w:t>
      </w:r>
    </w:p>
    <w:p>
      <w:pPr>
        <w:pStyle w:val="ListBullet"/>
        <w:ind w:left="360" w:hanging="360"/>
      </w:pPr>
      <w:r>
        <w:rPr>
          <w:rFonts w:ascii="Calibri" w:hAnsi="Calibri"/>
          <w:b/>
          <w:i/>
          <w:color w:val="525866"/>
          <w:sz w:val="22"/>
        </w:rPr>
        <w:t xml:space="preserve">AIG read-through: </w:t>
      </w:r>
      <w:r>
        <w:rPr>
          <w:rFonts w:ascii="Calibri" w:hAnsi="Calibri"/>
          <w:i/>
          <w:color w:val="525866"/>
          <w:sz w:val="22"/>
        </w:rPr>
        <w:t>Moderate applicability. AIG has workers' comp exposure in North America Commercial. If the workers' comp cycle is turning in California and spreading nationally, this could be a future pricing tailwind for AIG's casualty book.</w:t>
      </w:r>
    </w:p>
    <w:p>
      <w:pPr>
        <w:pStyle w:val="Heading3"/>
      </w:pPr>
      <w:r>
        <w:rPr>
          <w:rFonts w:ascii="Calibri" w:hAnsi="Calibri"/>
          <w:b/>
          <w:color w:val="3B4259"/>
          <w:sz w:val="24"/>
        </w:rPr>
        <w:t>8.5 Arch Capital (ACGL) — Q2 2026 Earnings Call (July 29, 2026)</w:t>
      </w:r>
    </w:p>
    <w:p>
      <w:r>
        <w:rPr>
          <w:rFonts w:ascii="Calibri" w:hAnsi="Calibri"/>
          <w:b/>
          <w:color w:val="525866"/>
          <w:sz w:val="22"/>
        </w:rPr>
        <w:t xml:space="preserve">Applicability to AIG: </w:t>
      </w:r>
      <w:r>
        <w:rPr>
          <w:rFonts w:ascii="Calibri" w:hAnsi="Calibri"/>
          <w:color w:val="525866"/>
          <w:sz w:val="22"/>
        </w:rPr>
        <w:t>High for reinsurance market dynamics and property cat pricing; high for specialty lines (war/terrorism, political risk); moderate for casualty; lower for mortgage insurance (not an AIG line).</w:t>
      </w:r>
    </w:p>
    <w:p>
      <w:pPr>
        <w:pStyle w:val="ListBullet"/>
        <w:ind w:left="360" w:hanging="360"/>
      </w:pPr>
      <w:r>
        <w:rPr>
          <w:rFonts w:ascii="Calibri" w:hAnsi="Calibri"/>
          <w:b/>
          <w:color w:val="525866"/>
          <w:sz w:val="22"/>
        </w:rPr>
        <w:t>"Still in the early stages of this softening market."</w:t>
      </w:r>
      <w:r>
        <w:rPr>
          <w:rFonts w:ascii="Calibri" w:hAnsi="Calibri"/>
          <w:color w:val="525866"/>
          <w:sz w:val="22"/>
        </w:rPr>
        <w:t xml:space="preserve"> ACGL management described the market as "increasingly competitive" but with "overall fundamentals attractive." They emphasized that "a more competitive environment doesn't mean a lack of opportunity — it simply requires greater discipline in where and how capital is deployed."</w:t>
      </w:r>
    </w:p>
    <w:p>
      <w:pPr>
        <w:pStyle w:val="ListBullet"/>
        <w:ind w:left="360" w:hanging="360"/>
      </w:pPr>
      <w:r>
        <w:rPr>
          <w:rFonts w:ascii="Calibri" w:hAnsi="Calibri"/>
          <w:b/>
          <w:i/>
          <w:color w:val="525866"/>
          <w:sz w:val="22"/>
        </w:rPr>
        <w:t xml:space="preserve">AIG read-through: </w:t>
      </w:r>
      <w:r>
        <w:rPr>
          <w:rFonts w:ascii="Calibri" w:hAnsi="Calibri"/>
          <w:i/>
          <w:color w:val="525866"/>
          <w:sz w:val="22"/>
        </w:rPr>
        <w:t>Consistent with AIG's own messaging. The "early stages" framing is important — it suggests the softening cycle has further to run, which means AIG's Lexington large account exit may need to continue through 2026 and potentially into 2027.</w:t>
      </w:r>
    </w:p>
    <w:p>
      <w:pPr>
        <w:pStyle w:val="ListBullet"/>
        <w:ind w:left="360" w:hanging="360"/>
      </w:pPr>
      <w:r>
        <w:rPr>
          <w:rFonts w:ascii="Calibri" w:hAnsi="Calibri"/>
          <w:b/>
          <w:color w:val="525866"/>
          <w:sz w:val="22"/>
        </w:rPr>
        <w:t>Property cat: mid-teens rate reductions at July 1 renewals.</w:t>
      </w:r>
      <w:r>
        <w:rPr>
          <w:rFonts w:ascii="Calibri" w:hAnsi="Calibri"/>
          <w:color w:val="525866"/>
          <w:sz w:val="22"/>
        </w:rPr>
        <w:t xml:space="preserve"> ACGL observed "rate reductions in the mid-teens" at mid-year property cat renewals, with Florida reductions "across the board." Despite this, management believes the market's rate index is "still above" pre-Hurricane Ian levels.</w:t>
      </w:r>
    </w:p>
    <w:p>
      <w:pPr>
        <w:pStyle w:val="ListBullet"/>
        <w:ind w:left="360" w:hanging="360"/>
      </w:pPr>
      <w:r>
        <w:rPr>
          <w:rFonts w:ascii="Calibri" w:hAnsi="Calibri"/>
          <w:b/>
          <w:i/>
          <w:color w:val="525866"/>
          <w:sz w:val="22"/>
        </w:rPr>
        <w:t xml:space="preserve">AIG read-through: </w:t>
      </w:r>
      <w:r>
        <w:rPr>
          <w:rFonts w:ascii="Calibri" w:hAnsi="Calibri"/>
          <w:i/>
          <w:color w:val="525866"/>
          <w:sz w:val="22"/>
        </w:rPr>
        <w:t>Directly relevant for AIG's reinsurance purchasing costs and its property cat book. Mid-teens rate reductions at July 1 renewals mean AIG's reinsurance costs are declining, which is a positive for its net combined ratio. However, the softening also means AIG's gross property premiums face pricing headwinds.</w:t>
      </w:r>
    </w:p>
    <w:p>
      <w:pPr>
        <w:pStyle w:val="ListBullet"/>
        <w:ind w:left="360" w:hanging="360"/>
      </w:pPr>
      <w:r>
        <w:rPr>
          <w:rFonts w:ascii="Calibri" w:hAnsi="Calibri"/>
          <w:b/>
          <w:color w:val="525866"/>
          <w:sz w:val="22"/>
        </w:rPr>
        <w:t>Casualty: "much more optimistic" — market remaining disciplined.</w:t>
      </w:r>
      <w:r>
        <w:rPr>
          <w:rFonts w:ascii="Calibri" w:hAnsi="Calibri"/>
          <w:color w:val="525866"/>
          <w:sz w:val="22"/>
        </w:rPr>
        <w:t xml:space="preserve"> ACGL is "much more optimistic on the casualty side," noting that while competition is elevated, the market "is remaining disciplined, especially on the insurance side." They have seen "management of limit" which is "very disciplined."</w:t>
      </w:r>
    </w:p>
    <w:p>
      <w:pPr>
        <w:pStyle w:val="ListBullet"/>
        <w:ind w:left="360" w:hanging="360"/>
      </w:pPr>
      <w:r>
        <w:rPr>
          <w:rFonts w:ascii="Calibri" w:hAnsi="Calibri"/>
          <w:b/>
          <w:i/>
          <w:color w:val="525866"/>
          <w:sz w:val="22"/>
        </w:rPr>
        <w:t xml:space="preserve">AIG read-through: </w:t>
      </w:r>
      <w:r>
        <w:rPr>
          <w:rFonts w:ascii="Calibri" w:hAnsi="Calibri"/>
          <w:i/>
          <w:color w:val="525866"/>
          <w:sz w:val="22"/>
        </w:rPr>
        <w:t>Positive for AIG's casualty book. ACGL's more optimistic casualty view (vs. Chubb's more cautious tone) suggests the casualty market is bifurcated — disciplined in specialty/E&amp;S (where AIG operates) but more competitive in large account/admitted (where AIG is less exposed).</w:t>
      </w:r>
    </w:p>
    <w:p>
      <w:pPr>
        <w:pStyle w:val="ListBullet"/>
        <w:ind w:left="360" w:hanging="360"/>
      </w:pPr>
      <w:r>
        <w:rPr>
          <w:rFonts w:ascii="Calibri" w:hAnsi="Calibri"/>
          <w:b/>
          <w:color w:val="525866"/>
          <w:sz w:val="22"/>
        </w:rPr>
        <w:t>War and terrorism: ongoing opportunities post-Middle East conflict.</w:t>
      </w:r>
      <w:r>
        <w:rPr>
          <w:rFonts w:ascii="Calibri" w:hAnsi="Calibri"/>
          <w:color w:val="525866"/>
          <w:sz w:val="22"/>
        </w:rPr>
        <w:t xml:space="preserve"> ACGL, as "a leading writer of political violence, terrorism and marine war in the London market," is "seeing ongoing opportunities to support clients with assets in the region" following the Iran conflict, selectively deploying more capacity while avoiding concentration. The industry loss estimate for Middle East war losses is "still around $3 billion."</w:t>
      </w:r>
    </w:p>
    <w:p>
      <w:pPr>
        <w:pStyle w:val="ListBullet"/>
        <w:ind w:left="360" w:hanging="360"/>
      </w:pPr>
      <w:r>
        <w:rPr>
          <w:rFonts w:ascii="Calibri" w:hAnsi="Calibri"/>
          <w:b/>
          <w:i/>
          <w:color w:val="525866"/>
          <w:sz w:val="22"/>
        </w:rPr>
        <w:t xml:space="preserve">AIG read-through: </w:t>
      </w:r>
      <w:r>
        <w:rPr>
          <w:rFonts w:ascii="Calibri" w:hAnsi="Calibri"/>
          <w:i/>
          <w:color w:val="525866"/>
          <w:sz w:val="22"/>
        </w:rPr>
        <w:t>Directly applicable. AIG has highlighted geopolitical risk (political risk, trade credit, marine/war) as a demand tailwind. ACGL's commentary confirms that the Middle East conflict is generating incremental specialty insurance demand, which is a positive for AIG's specialty lines. However, the $3B industry loss estimate means AIG may have some Q2 war/terrorism losses to disclose.</w:t>
      </w:r>
    </w:p>
    <w:p>
      <w:pPr>
        <w:pStyle w:val="ListBullet"/>
        <w:ind w:left="360" w:hanging="360"/>
      </w:pPr>
      <w:r>
        <w:rPr>
          <w:rFonts w:ascii="Calibri" w:hAnsi="Calibri"/>
          <w:b/>
          <w:color w:val="525866"/>
          <w:sz w:val="22"/>
        </w:rPr>
        <w:t>Casualty loss costs: tort reform not yet visible in numbers.</w:t>
      </w:r>
      <w:r>
        <w:rPr>
          <w:rFonts w:ascii="Calibri" w:hAnsi="Calibri"/>
          <w:color w:val="525866"/>
          <w:sz w:val="22"/>
        </w:rPr>
        <w:t xml:space="preserve"> ACGL management stated they "don't see the impact of tort reform or different behavior by defense attorneys in the numbers yet" and that it is "not reflected in our loss trend because we just don't see it in the numbers yet."</w:t>
      </w:r>
    </w:p>
    <w:p>
      <w:pPr>
        <w:pStyle w:val="ListBullet"/>
        <w:ind w:left="360" w:hanging="360"/>
      </w:pPr>
      <w:r>
        <w:rPr>
          <w:rFonts w:ascii="Calibri" w:hAnsi="Calibri"/>
          <w:b/>
          <w:i/>
          <w:color w:val="525866"/>
          <w:sz w:val="22"/>
        </w:rPr>
        <w:t xml:space="preserve">AIG read-through: </w:t>
      </w:r>
      <w:r>
        <w:rPr>
          <w:rFonts w:ascii="Calibri" w:hAnsi="Calibri"/>
          <w:i/>
          <w:color w:val="525866"/>
          <w:sz w:val="22"/>
        </w:rPr>
        <w:t>Consistent with Chubb's view that casualty loss cost inflation remains elevated. AIG's favorable prior-year development in Financial Lines should be viewed cautiously if the broader industry is not yet seeing tort reform benefits in actual loss data.</w:t>
      </w:r>
    </w:p>
    <w:p>
      <w:pPr>
        <w:pStyle w:val="ListBullet"/>
        <w:ind w:left="360" w:hanging="360"/>
      </w:pPr>
      <w:r>
        <w:rPr>
          <w:rFonts w:ascii="Calibri" w:hAnsi="Calibri"/>
          <w:b/>
          <w:color w:val="525866"/>
          <w:sz w:val="22"/>
        </w:rPr>
        <w:t>Property cat reinsurance: ACGL is "much more active" in buying.</w:t>
      </w:r>
      <w:r>
        <w:rPr>
          <w:rFonts w:ascii="Calibri" w:hAnsi="Calibri"/>
          <w:color w:val="525866"/>
          <w:sz w:val="22"/>
        </w:rPr>
        <w:t xml:space="preserve"> ACGL is buying more property cat reinsurance because the "property cat business is quite stressed." They also noted that reinsurance casualty remains attractive but faces "too much capacity chasing too little business."</w:t>
      </w:r>
    </w:p>
    <w:p>
      <w:pPr>
        <w:pStyle w:val="ListBullet"/>
        <w:ind w:left="360" w:hanging="360"/>
      </w:pPr>
      <w:r>
        <w:rPr>
          <w:rFonts w:ascii="Calibri" w:hAnsi="Calibri"/>
          <w:b/>
          <w:i/>
          <w:color w:val="525866"/>
          <w:sz w:val="22"/>
        </w:rPr>
        <w:t xml:space="preserve">AIG read-through: </w:t>
      </w:r>
      <w:r>
        <w:rPr>
          <w:rFonts w:ascii="Calibri" w:hAnsi="Calibri"/>
          <w:i/>
          <w:color w:val="525866"/>
          <w:sz w:val="22"/>
        </w:rPr>
        <w:t>Positive for AIG's reinsurance purchasing strategy. If sophisticated buyers like ACGL are increasing property cat reinsurance purchases, it validates AIG's own use of reinsurance (Convex quota share, Everest renewals) as a capital management tool. The excess casualty reinsurance capacity is a headwind for AIG's reinsurance ceded costs in casualty.</w:t>
      </w:r>
    </w:p>
    <w:p>
      <w:pPr>
        <w:pStyle w:val="ListBullet"/>
        <w:ind w:left="360" w:hanging="360"/>
      </w:pPr>
      <w:r>
        <w:rPr>
          <w:rFonts w:ascii="Calibri" w:hAnsi="Calibri"/>
          <w:b/>
          <w:color w:val="525866"/>
          <w:sz w:val="22"/>
        </w:rPr>
        <w:t>Capital allocation: share buybacks "will remain part of the arsenal."</w:t>
      </w:r>
      <w:r>
        <w:rPr>
          <w:rFonts w:ascii="Calibri" w:hAnsi="Calibri"/>
          <w:color w:val="525866"/>
          <w:sz w:val="22"/>
        </w:rPr>
        <w:t xml:space="preserve"> ACGL noted that "growth is going to be harder to come" and that "share buybacks will remain part of the arsenal" for managing returns. They have capacity to "buy back more" shares.</w:t>
      </w:r>
    </w:p>
    <w:p>
      <w:pPr>
        <w:pStyle w:val="ListBullet"/>
        <w:ind w:left="360" w:hanging="360"/>
      </w:pPr>
      <w:r>
        <w:rPr>
          <w:rFonts w:ascii="Calibri" w:hAnsi="Calibri"/>
          <w:b/>
          <w:i/>
          <w:color w:val="525866"/>
          <w:sz w:val="22"/>
        </w:rPr>
        <w:t xml:space="preserve">AIG read-through: </w:t>
      </w:r>
      <w:r>
        <w:rPr>
          <w:rFonts w:ascii="Calibri" w:hAnsi="Calibri"/>
          <w:i/>
          <w:color w:val="525866"/>
          <w:sz w:val="22"/>
        </w:rPr>
        <w:t>Consistent with AIG's own capital return strategy. AIG returned $760M in Q1 (buybacks + dividends) and has the Corebridge exit proceeds earmarked for additional buybacks. The industry-wide shift toward buybacks in a softening market validates AIG's capital allocation approach.</w:t>
      </w:r>
    </w:p>
    <w:p>
      <w:pPr>
        <w:pStyle w:val="Heading3"/>
      </w:pPr>
      <w:r>
        <w:rPr>
          <w:rFonts w:ascii="Calibri" w:hAnsi="Calibri"/>
          <w:b/>
          <w:color w:val="3B4259"/>
          <w:sz w:val="24"/>
        </w:rPr>
        <w:t>8.6 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AIG Implication</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Large account property pricing</w:t>
            </w:r>
          </w:p>
        </w:tc>
        <w:tc>
          <w:tcPr>
            <w:tcW w:type="dxa" w:w="2160"/>
          </w:tcPr>
          <w:p>
            <w:r>
              <w:rPr>
                <w:rFonts w:ascii="Calibri" w:hAnsi="Calibri"/>
                <w:sz w:val="22"/>
              </w:rPr>
              <w:t>Mid-teens rate reductions at July 1 (ACGL); softening concentrated in national/large account (TRV, CB, HIG, WRB)</w:t>
            </w:r>
          </w:p>
        </w:tc>
        <w:tc>
          <w:tcPr>
            <w:tcW w:type="dxa" w:w="2160"/>
          </w:tcPr>
          <w:p>
            <w:r>
              <w:rPr>
                <w:rFonts w:ascii="Calibri" w:hAnsi="Calibri"/>
                <w:sz w:val="22"/>
              </w:rPr>
              <w:t>Validates Lexington large account exit; AIG's non-Lexington property remains profitable</w:t>
            </w:r>
          </w:p>
        </w:tc>
        <w:tc>
          <w:tcPr>
            <w:tcW w:type="dxa" w:w="2160"/>
          </w:tcPr>
          <w:p>
            <w:r>
              <w:rPr>
                <w:rFonts w:ascii="Calibri" w:hAnsi="Calibri"/>
                <w:b/>
                <w:color w:val="30A46C"/>
                <w:sz w:val="22"/>
              </w:rPr>
              <w:t>Positive</w:t>
            </w:r>
          </w:p>
        </w:tc>
      </w:tr>
      <w:tr>
        <w:tc>
          <w:tcPr>
            <w:tcW w:type="dxa" w:w="2160"/>
          </w:tcPr>
          <w:p>
            <w:r>
              <w:rPr>
                <w:rFonts w:ascii="Calibri" w:hAnsi="Calibri"/>
                <w:sz w:val="22"/>
              </w:rPr>
              <w:t>Casualty loss cost inflation</w:t>
            </w:r>
          </w:p>
        </w:tc>
        <w:tc>
          <w:tcPr>
            <w:tcW w:type="dxa" w:w="2160"/>
          </w:tcPr>
          <w:p>
            <w:r>
              <w:rPr>
                <w:rFonts w:ascii="Calibri" w:hAnsi="Calibri"/>
                <w:sz w:val="22"/>
              </w:rPr>
              <w:t>6–7% primary, 9–12% excess per year (CB); no evidence of abatement; tort reform not in numbers yet (ACGL)</w:t>
            </w:r>
          </w:p>
        </w:tc>
        <w:tc>
          <w:tcPr>
            <w:tcW w:type="dxa" w:w="2160"/>
          </w:tcPr>
          <w:p>
            <w:r>
              <w:rPr>
                <w:rFonts w:ascii="Calibri" w:hAnsi="Calibri"/>
                <w:sz w:val="22"/>
              </w:rPr>
              <w:t>Risk to AIG's casualty reserve adequacy and pricing sufficiency; favorable prior-year development sustainability in question</w:t>
            </w:r>
          </w:p>
        </w:tc>
        <w:tc>
          <w:tcPr>
            <w:tcW w:type="dxa" w:w="2160"/>
          </w:tcPr>
          <w:p>
            <w:r>
              <w:rPr>
                <w:rFonts w:ascii="Calibri" w:hAnsi="Calibri"/>
                <w:b/>
                <w:color w:val="E5484D"/>
                <w:sz w:val="22"/>
              </w:rPr>
              <w:t>Negative</w:t>
            </w:r>
          </w:p>
        </w:tc>
      </w:tr>
      <w:tr>
        <w:tc>
          <w:tcPr>
            <w:tcW w:type="dxa" w:w="2160"/>
          </w:tcPr>
          <w:p>
            <w:r>
              <w:rPr>
                <w:rFonts w:ascii="Calibri" w:hAnsi="Calibri"/>
                <w:sz w:val="22"/>
              </w:rPr>
              <w:t>Financial lines / D&amp;O pricing</w:t>
            </w:r>
          </w:p>
        </w:tc>
        <w:tc>
          <w:tcPr>
            <w:tcW w:type="dxa" w:w="2160"/>
          </w:tcPr>
          <w:p>
            <w:r>
              <w:rPr>
                <w:rFonts w:ascii="Calibri" w:hAnsi="Calibri"/>
                <w:sz w:val="22"/>
              </w:rPr>
              <w:t>Market "continues to be soft"; naive MGAs writing inadequate terms (CB)</w:t>
            </w:r>
          </w:p>
        </w:tc>
        <w:tc>
          <w:tcPr>
            <w:tcW w:type="dxa" w:w="2160"/>
          </w:tcPr>
          <w:p>
            <w:r>
              <w:rPr>
                <w:rFonts w:ascii="Calibri" w:hAnsi="Calibri"/>
                <w:sz w:val="22"/>
              </w:rPr>
              <w:t>Headwind for AIG's Financial Lines NPW growth; AIG's Q1 U.S. Financial Lines pricing was already flat</w:t>
            </w:r>
          </w:p>
        </w:tc>
        <w:tc>
          <w:tcPr>
            <w:tcW w:type="dxa" w:w="2160"/>
          </w:tcPr>
          <w:p>
            <w:r>
              <w:rPr>
                <w:rFonts w:ascii="Calibri" w:hAnsi="Calibri"/>
                <w:b/>
                <w:color w:val="E5484D"/>
                <w:sz w:val="22"/>
              </w:rPr>
              <w:t>Negative</w:t>
            </w:r>
          </w:p>
        </w:tc>
      </w:tr>
      <w:tr>
        <w:tc>
          <w:tcPr>
            <w:tcW w:type="dxa" w:w="2160"/>
          </w:tcPr>
          <w:p>
            <w:r>
              <w:rPr>
                <w:rFonts w:ascii="Calibri" w:hAnsi="Calibri"/>
                <w:sz w:val="22"/>
              </w:rPr>
              <w:t>GL / commercial auto reserves</w:t>
            </w:r>
          </w:p>
        </w:tc>
        <w:tc>
          <w:tcPr>
            <w:tcW w:type="dxa" w:w="2160"/>
          </w:tcPr>
          <w:p>
            <w:r>
              <w:rPr>
                <w:rFonts w:ascii="Calibri" w:hAnsi="Calibri"/>
                <w:sz w:val="22"/>
              </w:rPr>
              <w:t>HIG increased GL reserves $46M; commercial auto adverse development from attorney involvement and higher severity</w:t>
            </w:r>
          </w:p>
        </w:tc>
        <w:tc>
          <w:tcPr>
            <w:tcW w:type="dxa" w:w="2160"/>
          </w:tcPr>
          <w:p>
            <w:r>
              <w:rPr>
                <w:rFonts w:ascii="Calibri" w:hAnsi="Calibri"/>
                <w:sz w:val="22"/>
              </w:rPr>
              <w:t>Watch AIG's Q2 casualty reserve development; industry-wide GL/auto adverse development is a risk</w:t>
            </w:r>
          </w:p>
        </w:tc>
        <w:tc>
          <w:tcPr>
            <w:tcW w:type="dxa" w:w="2160"/>
          </w:tcPr>
          <w:p>
            <w:r>
              <w:rPr>
                <w:rFonts w:ascii="Calibri" w:hAnsi="Calibri"/>
                <w:b/>
                <w:color w:val="E5484D"/>
                <w:sz w:val="22"/>
              </w:rPr>
              <w:t>Negative</w:t>
            </w:r>
          </w:p>
        </w:tc>
      </w:tr>
      <w:tr>
        <w:tc>
          <w:tcPr>
            <w:tcW w:type="dxa" w:w="2160"/>
          </w:tcPr>
          <w:p>
            <w:r>
              <w:rPr>
                <w:rFonts w:ascii="Calibri" w:hAnsi="Calibri"/>
                <w:sz w:val="22"/>
              </w:rPr>
              <w:t>Fixed income NII trajectory</w:t>
            </w:r>
          </w:p>
        </w:tc>
        <w:tc>
          <w:tcPr>
            <w:tcW w:type="dxa" w:w="2160"/>
          </w:tcPr>
          <w:p>
            <w:r>
              <w:rPr>
                <w:rFonts w:ascii="Calibri" w:hAnsi="Calibri"/>
                <w:sz w:val="22"/>
              </w:rPr>
              <w:t>TRV guided $840M Q3 / $870M Q4; WRB new money yield "comfortably starts with a five"; CB fixed income NII growing</w:t>
            </w:r>
          </w:p>
        </w:tc>
        <w:tc>
          <w:tcPr>
            <w:tcW w:type="dxa" w:w="2160"/>
          </w:tcPr>
          <w:p>
            <w:r>
              <w:rPr>
                <w:rFonts w:ascii="Calibri" w:hAnsi="Calibri"/>
                <w:sz w:val="22"/>
              </w:rPr>
              <w:t>Positive for AIG's GI NII growth; partially offsets guided weakness in Other Operations NII</w:t>
            </w:r>
          </w:p>
        </w:tc>
        <w:tc>
          <w:tcPr>
            <w:tcW w:type="dxa" w:w="2160"/>
          </w:tcPr>
          <w:p>
            <w:r>
              <w:rPr>
                <w:rFonts w:ascii="Calibri" w:hAnsi="Calibri"/>
                <w:b/>
                <w:color w:val="30A46C"/>
                <w:sz w:val="22"/>
              </w:rPr>
              <w:t>Positive</w:t>
            </w:r>
          </w:p>
        </w:tc>
      </w:tr>
      <w:tr>
        <w:tc>
          <w:tcPr>
            <w:tcW w:type="dxa" w:w="2160"/>
          </w:tcPr>
          <w:p>
            <w:r>
              <w:rPr>
                <w:rFonts w:ascii="Calibri" w:hAnsi="Calibri"/>
                <w:sz w:val="22"/>
              </w:rPr>
              <w:t>War / terrorism specialty demand</w:t>
            </w:r>
          </w:p>
        </w:tc>
        <w:tc>
          <w:tcPr>
            <w:tcW w:type="dxa" w:w="2160"/>
          </w:tcPr>
          <w:p>
            <w:r>
              <w:rPr>
                <w:rFonts w:ascii="Calibri" w:hAnsi="Calibri"/>
                <w:sz w:val="22"/>
              </w:rPr>
              <w:t>ACGL seeing "ongoing opportunities" post-Middle East conflict; industry loss estimate ~$3B</w:t>
            </w:r>
          </w:p>
        </w:tc>
        <w:tc>
          <w:tcPr>
            <w:tcW w:type="dxa" w:w="2160"/>
          </w:tcPr>
          <w:p>
            <w:r>
              <w:rPr>
                <w:rFonts w:ascii="Calibri" w:hAnsi="Calibri"/>
                <w:sz w:val="22"/>
              </w:rPr>
              <w:t>Demand tailwind for AIG's specialty lines; but potential Q2 war/terrorism losses to watch</w:t>
            </w:r>
          </w:p>
        </w:tc>
        <w:tc>
          <w:tcPr>
            <w:tcW w:type="dxa" w:w="2160"/>
          </w:tcPr>
          <w:p>
            <w:r>
              <w:rPr>
                <w:rFonts w:ascii="Calibri" w:hAnsi="Calibri"/>
                <w:b/>
                <w:color w:val="002FA7"/>
                <w:sz w:val="22"/>
              </w:rPr>
              <w:t>Mixed</w:t>
            </w:r>
          </w:p>
        </w:tc>
      </w:tr>
      <w:tr>
        <w:tc>
          <w:tcPr>
            <w:tcW w:type="dxa" w:w="2160"/>
          </w:tcPr>
          <w:p>
            <w:r>
              <w:rPr>
                <w:rFonts w:ascii="Calibri" w:hAnsi="Calibri"/>
                <w:sz w:val="22"/>
              </w:rPr>
              <w:t>Underwriting discipline / capital return</w:t>
            </w:r>
          </w:p>
        </w:tc>
        <w:tc>
          <w:tcPr>
            <w:tcW w:type="dxa" w:w="2160"/>
          </w:tcPr>
          <w:p>
            <w:r>
              <w:rPr>
                <w:rFonts w:ascii="Calibri" w:hAnsi="Calibri"/>
                <w:sz w:val="22"/>
              </w:rPr>
              <w:t>All peers emphasizing discipline over growth; buybacks increasing (ACGL, HIG)</w:t>
            </w:r>
          </w:p>
        </w:tc>
        <w:tc>
          <w:tcPr>
            <w:tcW w:type="dxa" w:w="2160"/>
          </w:tcPr>
          <w:p>
            <w:r>
              <w:rPr>
                <w:rFonts w:ascii="Calibri" w:hAnsi="Calibri"/>
                <w:sz w:val="22"/>
              </w:rPr>
              <w:t>Consistent with AIG's strategy; Corebridge exit proceeds for buybacks well-supported by peer precedent</w:t>
            </w:r>
          </w:p>
        </w:tc>
        <w:tc>
          <w:tcPr>
            <w:tcW w:type="dxa" w:w="2160"/>
          </w:tcPr>
          <w:p>
            <w:r>
              <w:rPr>
                <w:rFonts w:ascii="Calibri" w:hAnsi="Calibri"/>
                <w:b/>
                <w:color w:val="30A46C"/>
                <w:sz w:val="22"/>
              </w:rPr>
              <w:t>Positive</w:t>
            </w:r>
          </w:p>
        </w:tc>
      </w:tr>
      <w:tr>
        <w:tc>
          <w:tcPr>
            <w:tcW w:type="dxa" w:w="2160"/>
          </w:tcPr>
          <w:p>
            <w:r>
              <w:rPr>
                <w:rFonts w:ascii="Calibri" w:hAnsi="Calibri"/>
                <w:sz w:val="22"/>
              </w:rPr>
              <w:t>AI / expense ratio</w:t>
            </w:r>
          </w:p>
        </w:tc>
        <w:tc>
          <w:tcPr>
            <w:tcW w:type="dxa" w:w="2160"/>
          </w:tcPr>
          <w:p>
            <w:r>
              <w:rPr>
                <w:rFonts w:ascii="Calibri" w:hAnsi="Calibri"/>
                <w:sz w:val="22"/>
              </w:rPr>
              <w:t>HIG making "significant investments" in AI; TRV citing Innovation 2.0 as tailwind</w:t>
            </w:r>
          </w:p>
        </w:tc>
        <w:tc>
          <w:tcPr>
            <w:tcW w:type="dxa" w:w="2160"/>
          </w:tcPr>
          <w:p>
            <w:r>
              <w:rPr>
                <w:rFonts w:ascii="Calibri" w:hAnsi="Calibri"/>
                <w:sz w:val="22"/>
              </w:rPr>
              <w:t>AIG appears ahead of peers in AI deployment (active beta testing); expense ratio improvement narrative supported</w:t>
            </w:r>
          </w:p>
        </w:tc>
        <w:tc>
          <w:tcPr>
            <w:tcW w:type="dxa" w:w="2160"/>
          </w:tcPr>
          <w:p>
            <w:r>
              <w:rPr>
                <w:rFonts w:ascii="Calibri" w:hAnsi="Calibri"/>
                <w:b/>
                <w:color w:val="30A46C"/>
                <w:sz w:val="22"/>
              </w:rPr>
              <w:t>Positive</w:t>
            </w:r>
          </w:p>
        </w:tc>
      </w:tr>
    </w:tbl>
    <w:p>
      <w:r>
        <w:rPr>
          <w:rFonts w:ascii="Calibri" w:hAnsi="Calibri"/>
          <w:b/>
          <w:color w:val="525866"/>
          <w:sz w:val="22"/>
        </w:rPr>
        <w:t xml:space="preserve">Limitations: </w:t>
      </w:r>
      <w:r>
        <w:rPr>
          <w:rFonts w:ascii="Calibri" w:hAnsi="Calibri"/>
          <w:color w:val="525866"/>
          <w:sz w:val="22"/>
        </w:rPr>
        <w:t>Peer commentary reflects each company's specific portfolio mix, which differs from AIG's. TRV is more U.S. personal lines-weighted; HIG has significant employee benefits exposure; WRB is more U.S. E&amp;S-focused; ACGL has a large mortgage insurance and reinsurance segment. CB is the closest global commercial P&amp;C peer. None of the peers have AIG's specific Corebridge overhang, leadership transition dynamic, or the same level of international diversification. Read-throughs should be weighted accordingly.</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