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AIZ (Assurant) before writing the preview. Let me gather recent filings, earnings history, news, and price data.Let me read the most recent quarter's earnings materials and check recent news/guidance.Let me get the year-ago Q2 2025 baseline and recent news/analyst actions.Let me check for consensus estimates and any recent analyst commentary via web search, and get the latest daily news.I have enough to write a comprehensive preview. Let me quickly compute a few performance stats for accuracy.Here is the earnings preview.</w:t>
      </w:r>
    </w:p>
    <w:p>
      <w:r>
        <w:pict>
          <v:rect style="width:0;height:1.5pt" o:hralign="center" o:hrstd="t" o:hr="t"/>
        </w:pict>
      </w:r>
    </w:p>
    <w:bookmarkStart w:id="17" w:name="assurant-aiz--q2-2026-earnings-preview"/>
    <w:p>
      <w:pPr>
        <w:pStyle w:val="Heading1"/>
      </w:pPr>
      <w:r>
        <w:t xml:space="preserve">Assurant (AIZ)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close Tuesday, Aug 4, 2026 ·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Wed, Aug 5, 8:00 a.m. ET</w:t>
      </w:r>
      <w:r>
        <w:t xml:space="preserve"> </w:t>
      </w:r>
      <w:r>
        <w:rPr>
          <w:b/>
          <w:bCs/>
        </w:rPr>
        <w:t xml:space="preserve">Price (8/3/26):</w:t>
      </w:r>
      <w:r>
        <w:t xml:space="preserve"> </w:t>
      </w:r>
      <w:r>
        <w:t xml:space="preserve">~$282 ·</w:t>
      </w:r>
      <w:r>
        <w:t xml:space="preserve"> </w:t>
      </w:r>
      <w:r>
        <w:rPr>
          <w:b/>
          <w:bCs/>
        </w:rPr>
        <w:t xml:space="preserve">FY25 adj. EPS ex-cat:</w:t>
      </w:r>
      <w:r>
        <w:t xml:space="preserve"> </w:t>
      </w:r>
      <w:r>
        <w:t xml:space="preserve">$22.81 → **~12.4x trailing**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AIZ heads into the print near</w:t>
      </w:r>
      <w:r>
        <w:t xml:space="preserve"> </w:t>
      </w:r>
      <w:r>
        <w:rPr>
          <w:b/>
          <w:bCs/>
        </w:rPr>
        <w:t xml:space="preserve">all-time highs</w:t>
      </w:r>
      <w:r>
        <w:t xml:space="preserve"> </w:t>
      </w:r>
      <w:r>
        <w:t xml:space="preserve">after a huge run, but consensus calls for a</w:t>
      </w:r>
      <w:r>
        <w:t xml:space="preserve"> </w:t>
      </w:r>
      <w:r>
        <w:rPr>
          <w:b/>
          <w:bCs/>
        </w:rPr>
        <w:t xml:space="preserve">year-over-year EPS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decline</w:t>
      </w:r>
      <w:r>
        <w:t xml:space="preserve"> </w:t>
      </w:r>
      <w:r>
        <w:t xml:space="preserve">this quarter. The gap between those two facts is the whole story: the stock is priced on durable underlying growth and capital returns, while the reported number faces a mechanical headwind from</w:t>
      </w:r>
      <w:r>
        <w:t xml:space="preserve"> </w:t>
      </w:r>
      <w:r>
        <w:rPr>
          <w:b/>
          <w:bCs/>
        </w:rPr>
        <w:t xml:space="preserve">abnormally high favorable reserve development a year ago.</w:t>
      </w:r>
      <w:r>
        <w:t xml:space="preserve"> </w:t>
      </w:r>
      <w:r>
        <w:t xml:space="preserve">The reaction will hinge on</w:t>
      </w:r>
      <w:r>
        <w:t xml:space="preserve"> </w:t>
      </w:r>
      <w:r>
        <w:rPr>
          <w:i/>
          <w:iCs/>
        </w:rPr>
        <w:t xml:space="preserve">underlying</w:t>
      </w:r>
      <w:r>
        <w:t xml:space="preserve"> </w:t>
      </w:r>
      <w:r>
        <w:t xml:space="preserve">(ex-PYD) trends and whether management raises guidance again.</w:t>
      </w:r>
    </w:p>
    <w:bookmarkEnd w:id="9"/>
    <w:bookmarkStart w:id="10" w:name="price-action--positioning"/>
    <w:p>
      <w:pPr>
        <w:pStyle w:val="Heading2"/>
      </w:pPr>
      <w:r>
        <w:t xml:space="preserve">Price action / positioning</w:t>
      </w:r>
    </w:p>
    <w:p>
      <w:pPr>
        <w:pStyle w:val="Compact"/>
        <w:numPr>
          <w:ilvl w:val="0"/>
          <w:numId w:val="1001"/>
        </w:numPr>
      </w:pPr>
      <w:r>
        <w:t xml:space="preserve">AIZ is up</w:t>
      </w:r>
      <w:r>
        <w:t xml:space="preserve"> </w:t>
      </w:r>
      <w:r>
        <w:rPr>
          <w:b/>
          <w:bCs/>
        </w:rPr>
        <w:t xml:space="preserve">~51% over the past 12 months vs. ~22% for the S&amp;P 500</w:t>
      </w:r>
      <w:r>
        <w:t xml:space="preserve">, and</w:t>
      </w:r>
      <w:r>
        <w:t xml:space="preserve"> </w:t>
      </w:r>
      <w:r>
        <w:rPr>
          <w:b/>
          <w:bCs/>
        </w:rPr>
        <w:t xml:space="preserve">+17% YTD</w:t>
      </w:r>
      <w:r>
        <w:t xml:space="preserve">, sitting essentially at record levels (it printed ~$283 in late July).</w:t>
      </w:r>
    </w:p>
    <w:p>
      <w:pPr>
        <w:pStyle w:val="Compact"/>
        <w:numPr>
          <w:ilvl w:val="0"/>
          <w:numId w:val="1001"/>
        </w:numPr>
      </w:pPr>
      <w:r>
        <w:t xml:space="preserve">The run has been steady since a sharp</w:t>
      </w:r>
      <w:r>
        <w:t xml:space="preserve"> </w:t>
      </w:r>
      <w:r>
        <w:rPr>
          <w:b/>
          <w:bCs/>
        </w:rPr>
        <w:t xml:space="preserve">~9% single-day drop on the Q4'25 report (Feb 11)</w:t>
      </w:r>
      <w:r>
        <w:t xml:space="preserve">, when initial 2026 guidance of only low-single-digit growth (the PYD headwind) disappointed. The stock has since more than recovered as the underlying growth story reasserted itself.</w:t>
      </w:r>
    </w:p>
    <w:p>
      <w:pPr>
        <w:pStyle w:val="Compact"/>
        <w:numPr>
          <w:ilvl w:val="0"/>
          <w:numId w:val="1001"/>
        </w:numPr>
      </w:pPr>
      <w:r>
        <w:t xml:space="preserve">Implication: expectations and valuation have re-rated higher. With a Zacks Rank of Hold and no positive earnings "ESP," the bar for a positive reaction is higher than it was in February — some "sell-the-news" risk exists.</w:t>
      </w:r>
    </w:p>
    <w:bookmarkEnd w:id="10"/>
    <w:bookmarkStart w:id="11" w:name="what-the-street-expects-q2-2026"/>
    <w:p>
      <w:pPr>
        <w:pStyle w:val="Heading2"/>
      </w:pPr>
      <w:r>
        <w:t xml:space="preserve">What the Street expects (Q2 2026)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 ex-cat: ~</w:t>
      </w:r>
      <m:oMath>
        <m:r>
          <m:t>5.16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 </m:t>
        </m:r>
        <m:r>
          <m:t>7</m:t>
        </m:r>
      </m:oMath>
      <w:r>
        <w:rPr>
          <w:b/>
          <w:bCs/>
        </w:rPr>
        <w:t xml:space="preserve">5.56</w:t>
      </w:r>
      <w:r>
        <w:t xml:space="preserve"> </w:t>
      </w:r>
      <w:r>
        <w:t xml:space="preserve">reported in Q2'25.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 ~$2.6B</w:t>
      </w:r>
      <w:r>
        <w:t xml:space="preserve">, up low-single-digits.</w:t>
      </w:r>
    </w:p>
    <w:p>
      <w:pPr>
        <w:pStyle w:val="Compact"/>
        <w:numPr>
          <w:ilvl w:val="0"/>
          <w:numId w:val="1002"/>
        </w:numPr>
      </w:pPr>
      <w:r>
        <w:t xml:space="preserve">The expected decline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deterioration in the business — it reflects the roll-off of prior-year reserve development, not weaker operations.</w:t>
      </w:r>
    </w:p>
    <w:bookmarkEnd w:id="11"/>
    <w:bookmarkStart w:id="12" w:name="X30a845cfd8d7dd131f65f9f920466efa04ca097"/>
    <w:p>
      <w:pPr>
        <w:pStyle w:val="Heading2"/>
      </w:pPr>
      <w:r>
        <w:t xml:space="preserve">The central issue: the prior-year-development (PYD) comp</w:t>
      </w:r>
    </w:p>
    <w:p>
      <w:pPr>
        <w:pStyle w:val="FirstParagraph"/>
      </w:pPr>
      <w:r>
        <w:t xml:space="preserve">This is the most important thing to understand going in:</w:t>
      </w:r>
    </w:p>
    <w:p>
      <w:pPr>
        <w:pStyle w:val="Compact"/>
        <w:numPr>
          <w:ilvl w:val="0"/>
          <w:numId w:val="1003"/>
        </w:numPr>
      </w:pPr>
      <w:r>
        <w:t xml:space="preserve">Q2'25 Housing benefited from</w:t>
      </w:r>
      <w:r>
        <w:t xml:space="preserve"> </w:t>
      </w:r>
      <m:oMath>
        <m:r>
          <m:t>33.9</m:t>
        </m:r>
        <m:r>
          <m:t>M</m:t>
        </m:r>
        <m:r>
          <m:t>o</m:t>
        </m:r>
        <m:r>
          <m:t>f</m:t>
        </m:r>
        <m:r>
          <m:t>f</m:t>
        </m:r>
        <m:r>
          <m:t>a</m:t>
        </m:r>
        <m:r>
          <m:t>v</m:t>
        </m:r>
        <m:r>
          <m:t>o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c</m:t>
        </m:r>
        <m:r>
          <m:t>a</m:t>
        </m:r>
        <m:r>
          <m:t>t</m:t>
        </m:r>
        <m:r>
          <m:t>r</m:t>
        </m:r>
        <m:r>
          <m:t>e</m:t>
        </m:r>
        <m:r>
          <m:t>s</m:t>
        </m:r>
        <m:r>
          <m:t>e</m:t>
        </m:r>
        <m:r>
          <m:t>r</m:t>
        </m:r>
        <m:r>
          <m:t>v</m:t>
        </m:r>
        <m:r>
          <m:t>e</m:t>
        </m:r>
        <m:r>
          <m:t>d</m:t>
        </m:r>
        <m:r>
          <m:t>e</m:t>
        </m:r>
        <m:r>
          <m:t>v</m:t>
        </m:r>
        <m:r>
          <m:t>e</m:t>
        </m:r>
        <m:r>
          <m:t>l</m:t>
        </m:r>
        <m:r>
          <m:t>o</m:t>
        </m:r>
        <m:r>
          <m:t>p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(</m:t>
        </m:r>
        <m:r>
          <m:rPr>
            <m:sty m:val="p"/>
          </m:rPr>
          <m:t>≈</m:t>
        </m:r>
      </m:oMath>
      <w:r>
        <w:rPr>
          <w:b/>
          <w:bCs/>
        </w:rPr>
        <w:t xml:space="preserve">37M related to prior years)</w:t>
      </w:r>
      <w:r>
        <w:t xml:space="preserve"> </w:t>
      </w:r>
      <w:r>
        <w:t xml:space="preserve">— an unusually large tailwind that flattered last year's $5.56.</w:t>
      </w:r>
    </w:p>
    <w:p>
      <w:pPr>
        <w:pStyle w:val="Compact"/>
        <w:numPr>
          <w:ilvl w:val="0"/>
          <w:numId w:val="1003"/>
        </w:numPr>
      </w:pPr>
      <w:r>
        <w:t xml:space="preserve">Management's 2026 outlook</w:t>
      </w:r>
      <w:r>
        <w:t xml:space="preserve"> </w:t>
      </w:r>
      <w:r>
        <w:rPr>
          <w:b/>
          <w:bCs/>
        </w:rPr>
        <w:t xml:space="preserve">explicitly excludes</w:t>
      </w:r>
      <w:r>
        <w:t xml:space="preserve"> </w:t>
      </w:r>
      <w:r>
        <w:t xml:space="preserve">PYD, and they've flagged</w:t>
      </w:r>
      <w:r>
        <w:t xml:space="preserve"> </w:t>
      </w:r>
      <w:r>
        <w:rPr>
          <w:b/>
          <w:bCs/>
        </w:rPr>
        <w:t xml:space="preserve">~$94M less favorable PYD in 2026 vs. 2025</w:t>
      </w:r>
      <w:r>
        <w:t xml:space="preserve"> </w:t>
      </w:r>
      <w:r>
        <w:t xml:space="preserve">at the enterprise level.</w:t>
      </w:r>
    </w:p>
    <w:p>
      <w:pPr>
        <w:pStyle w:val="Compact"/>
        <w:numPr>
          <w:ilvl w:val="0"/>
          <w:numId w:val="1003"/>
        </w:numPr>
      </w:pPr>
      <w:r>
        <w:t xml:space="preserve">Net effect:</w:t>
      </w:r>
      <w:r>
        <w:t xml:space="preserve"> </w:t>
      </w:r>
      <w:r>
        <w:rPr>
          <w:b/>
          <w:bCs/>
        </w:rPr>
        <w:t xml:space="preserve">headline EPS/EBITDA can fall YoY even as the underlying business grows.</w:t>
      </w:r>
      <w:r>
        <w:t xml:space="preserve"> </w:t>
      </w:r>
      <w:r>
        <w:t xml:space="preserve">Watch for the "ex-PYD, ex-cat" underlying growth figure — management has been guiding to</w:t>
      </w:r>
      <w:r>
        <w:t xml:space="preserve"> </w:t>
      </w:r>
      <w:r>
        <w:rPr>
          <w:b/>
          <w:bCs/>
        </w:rPr>
        <w:t xml:space="preserve">high-single-digit underlying growth</w:t>
      </w:r>
      <w:r>
        <w:t xml:space="preserve"> </w:t>
      </w:r>
      <w:r>
        <w:t xml:space="preserve">for the full year. If underlying growth holds, a headline "miss/decline" should be discounted.</w:t>
      </w:r>
    </w:p>
    <w:bookmarkEnd w:id="12"/>
    <w:bookmarkStart w:id="13" w:name="segment-watch-items"/>
    <w:p>
      <w:pPr>
        <w:pStyle w:val="Heading2"/>
      </w:pPr>
      <w:r>
        <w:t xml:space="preserve">Segment watch items</w:t>
      </w:r>
    </w:p>
    <w:p>
      <w:pPr>
        <w:pStyle w:val="FirstParagraph"/>
      </w:pPr>
      <w:r>
        <w:rPr>
          <w:b/>
          <w:bCs/>
        </w:rPr>
        <w:t xml:space="preserve">Global Lifestyle (the growth engine — guided ~10% FY26 EBITDA growth)</w:t>
      </w:r>
    </w:p>
    <w:p>
      <w:pPr>
        <w:pStyle w:val="Compact"/>
        <w:numPr>
          <w:ilvl w:val="0"/>
          <w:numId w:val="1004"/>
        </w:numPr>
      </w:pPr>
      <w:r>
        <w:t xml:space="preserve">Q1'26 was a standout: EBITDA +20% (Connected Living +18%, Auto +23%). Look for continued momentum.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Connected Living / mobile:</w:t>
      </w:r>
      <w:r>
        <w:t xml:space="preserve"> </w:t>
      </w:r>
      <w:r>
        <w:t xml:space="preserve">subscriber additions (+4.3M YoY exiting Q1, ~69M devices protected), the</w:t>
      </w:r>
      <w:r>
        <w:t xml:space="preserve"> </w:t>
      </w:r>
      <w:r>
        <w:rPr>
          <w:b/>
          <w:bCs/>
        </w:rPr>
        <w:t xml:space="preserve">U.S. Cellular → T-Mobile in-force migration</w:t>
      </w:r>
      <w:r>
        <w:t xml:space="preserve">, and a wave of new wins (new reverse-logistics carrier, expanded Xfinity Mobile, Straight Talk/Verizon prepaid). Also watch</w:t>
      </w:r>
      <w:r>
        <w:t xml:space="preserve"> </w:t>
      </w:r>
      <w:r>
        <w:rPr>
          <w:b/>
          <w:bCs/>
        </w:rPr>
        <w:t xml:space="preserve">trade-in / reverse-logistics device volumes</w:t>
      </w:r>
      <w:r>
        <w:t xml:space="preserve"> </w:t>
      </w:r>
      <w:r>
        <w:t xml:space="preserve">(a big fee-income driver, with Q1 seasonally strong) and ramping non-mobile programs (</w:t>
      </w:r>
      <w:r>
        <w:rPr>
          <w:b/>
          <w:bCs/>
        </w:rPr>
        <w:t xml:space="preserve">Best Buy, Chase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Global Auto:</w:t>
      </w:r>
      <w:r>
        <w:t xml:space="preserve"> </w:t>
      </w:r>
      <w:r>
        <w:t xml:space="preserve">management called 2025 an "inflection year." Key question — is loss-cost improvement (prior rate actions, claims/product redesign, GAP) durable? Note Q1's +23% included a ~$10M one-time real estate JV gain; underlying auto growth was ~9%. Written premiums have been soft, so watch the top line.</w:t>
      </w:r>
    </w:p>
    <w:p>
      <w:pPr>
        <w:pStyle w:val="FirstParagraph"/>
      </w:pPr>
      <w:r>
        <w:rPr>
          <w:b/>
          <w:bCs/>
        </w:rPr>
        <w:t xml:space="preserve">Global Housing (the PYD swing factor — guided to decline only modestly ex-cat FY26)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Placement rate &amp; lender-placed policies in-force:</w:t>
      </w:r>
      <w:r>
        <w:t xml:space="preserve"> </w:t>
      </w:r>
      <w:r>
        <w:t xml:space="preserve">the hard voluntary homeowners market has been a tailwind (strength in CA/TX). Management expects fluctuations and is watching for any</w:t>
      </w:r>
      <w:r>
        <w:t xml:space="preserve"> </w:t>
      </w:r>
      <w:r>
        <w:rPr>
          <w:b/>
          <w:bCs/>
        </w:rPr>
        <w:t xml:space="preserve">loosening of the voluntary market</w:t>
      </w:r>
      <w:r>
        <w:t xml:space="preserve"> </w:t>
      </w:r>
      <w:r>
        <w:t xml:space="preserve">— a key medium-term risk to placement rates.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Non-cat loss ratio:</w:t>
      </w:r>
      <w:r>
        <w:t xml:space="preserve"> </w:t>
      </w:r>
      <w:r>
        <w:t xml:space="preserve">normalized to ~38% in Q1 vs. an unusually low year-ago level. FY combined ratio guide is</w:t>
      </w:r>
      <w:r>
        <w:t xml:space="preserve"> </w:t>
      </w:r>
      <w:r>
        <w:rPr>
          <w:b/>
          <w:bCs/>
        </w:rPr>
        <w:t xml:space="preserve">low-to-mid 80s (ex-PYD)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Reportable catastrophes:</w:t>
      </w:r>
      <w:r>
        <w:t xml:space="preserve"> </w:t>
      </w:r>
      <w:r>
        <w:t xml:space="preserve">Q2'25 carried</w:t>
      </w:r>
      <w:r>
        <w:t xml:space="preserve"> </w:t>
      </w:r>
      <m:oMath>
        <m:r>
          <m:t>29.8</m:t>
        </m:r>
        <m:r>
          <m:t>M</m:t>
        </m:r>
        <m:r>
          <m:t>o</m:t>
        </m:r>
        <m:r>
          <m:t>f</m:t>
        </m:r>
        <m:r>
          <m:t>c</m:t>
        </m:r>
        <m:r>
          <m:t>a</m:t>
        </m:r>
        <m:r>
          <m:t>t</m:t>
        </m:r>
        <m:r>
          <m:t>s</m:t>
        </m:r>
        <m:r>
          <m:rPr>
            <m:sty m:val="p"/>
          </m:rPr>
          <m:t>;</m:t>
        </m:r>
        <m:r>
          <m:t>Q</m:t>
        </m:r>
        <m:r>
          <m:t>2</m:t>
        </m:r>
        <m:r>
          <m:t>i</m:t>
        </m:r>
        <m:r>
          <m:t>s</m:t>
        </m:r>
        <m:r>
          <m:t>a</m:t>
        </m:r>
        <m:r>
          <m:t>m</m:t>
        </m:r>
        <m:r>
          <m:t>o</m:t>
        </m:r>
        <m:r>
          <m:t>d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c</m:t>
        </m:r>
        <m:r>
          <m:t>a</m:t>
        </m:r>
        <m:r>
          <m:t>t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(</m:t>
        </m:r>
        <m:r>
          <m:t>h</m:t>
        </m:r>
        <m:r>
          <m:t>u</m:t>
        </m:r>
        <m:r>
          <m:t>r</m:t>
        </m:r>
        <m:r>
          <m:t>r</m:t>
        </m:r>
        <m:r>
          <m:t>i</m:t>
        </m:r>
        <m:r>
          <m:t>c</m:t>
        </m:r>
        <m:r>
          <m:t>a</m:t>
        </m:r>
        <m:r>
          <m:t>n</m:t>
        </m:r>
        <m:r>
          <m:t>e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t</m:t>
        </m:r>
        <m:r>
          <m:t>s</m:t>
        </m:r>
        <m:r>
          <m:t>t</m:t>
        </m:r>
        <m:r>
          <m:t>o</m:t>
        </m:r>
        <m:r>
          <m:t>Q</m:t>
        </m:r>
        <m:r>
          <m:t>3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F</m:t>
        </m:r>
        <m:r>
          <m:t>Y</m:t>
        </m:r>
        <m:r>
          <m:t>c</m:t>
        </m:r>
        <m:r>
          <m:t>a</m:t>
        </m:r>
        <m:r>
          <m:t>t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185M**. Any large Q2 cat activity would hit the headline (but is excluded from the "ex-cat" figures the Street focuses on). Reinsurance was placed favorably (retention</w:t>
      </w:r>
      <w:r>
        <w:t xml:space="preserve"> </w:t>
      </w:r>
      <m:oMath>
        <m:r>
          <m:t>160</m:t>
        </m:r>
        <m:r>
          <m:t>M</m:t>
        </m:r>
        <m:r>
          <m:rPr>
            <m:sty m:val="p"/>
          </m:rPr>
          <m:t>,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a</m:t>
        </m:r>
        <m:r>
          <m:t>m</m:t>
        </m:r>
        <m:r>
          <m:t>c</m:t>
        </m:r>
        <m:r>
          <m:t>o</m:t>
        </m:r>
        <m:r>
          <m:t>s</m:t>
        </m:r>
        <m:r>
          <m:t>t</m:t>
        </m:r>
        <m:r>
          <m:t> </m:t>
        </m:r>
      </m:oMath>
      <w:r>
        <w:t xml:space="preserve">180M, down ~$20M YoY).</w:t>
      </w:r>
    </w:p>
    <w:p>
      <w:pPr>
        <w:pStyle w:val="Compact"/>
        <w:numPr>
          <w:ilvl w:val="0"/>
          <w:numId w:val="1005"/>
        </w:numPr>
      </w:pPr>
      <w:r>
        <w:t xml:space="preserve">New business: two large lender-placed renewals (~5M loans) in Q1 plus a "robust pipeline."</w:t>
      </w:r>
    </w:p>
    <w:p>
      <w:pPr>
        <w:pStyle w:val="FirstParagraph"/>
      </w:pPr>
      <w:r>
        <w:rPr>
          <w:b/>
          <w:bCs/>
        </w:rPr>
        <w:t xml:space="preserve">Corporate &amp; Other / Home Warranty</w:t>
      </w:r>
    </w:p>
    <w:p>
      <w:pPr>
        <w:pStyle w:val="Compact"/>
        <w:numPr>
          <w:ilvl w:val="0"/>
          <w:numId w:val="1006"/>
        </w:numPr>
      </w:pPr>
      <w:r>
        <w:t xml:space="preserve">Loss guided to **~</w:t>
      </w:r>
      <m:oMath>
        <m:r>
          <m:t>140</m:t>
        </m:r>
        <m:r>
          <m:t>M</m:t>
        </m:r>
        <m:r>
          <m:t>f</m:t>
        </m:r>
        <m:r>
          <m:t>o</m:t>
        </m:r>
        <m:r>
          <m:t>r</m:t>
        </m:r>
        <m:r>
          <m:t>F</m:t>
        </m:r>
        <m:r>
          <m:t>Y</m:t>
        </m:r>
        <m:r>
          <m:t>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115M in 2025) due to</w:t>
      </w:r>
      <w:r>
        <w:t xml:space="preserve"> </w:t>
      </w:r>
      <w:r>
        <w:rPr>
          <w:b/>
          <w:bCs/>
        </w:rPr>
        <w:t xml:space="preserve">Home Warranty investment</w:t>
      </w:r>
      <w:r>
        <w:t xml:space="preserve"> </w:t>
      </w:r>
      <w:r>
        <w:t xml:space="preserve">(the Compass International partnership across 6 real-estate brands). Watch commentary on the ramp — it's an early-stage drag now but the key new growth optionality.</w:t>
      </w:r>
    </w:p>
    <w:bookmarkEnd w:id="13"/>
    <w:bookmarkStart w:id="14" w:name="capital-return"/>
    <w:p>
      <w:pPr>
        <w:pStyle w:val="Heading2"/>
      </w:pPr>
      <w:r>
        <w:t xml:space="preserve">Capital return</w:t>
      </w:r>
    </w:p>
    <w:p>
      <w:pPr>
        <w:pStyle w:val="Compact"/>
        <w:numPr>
          <w:ilvl w:val="0"/>
          <w:numId w:val="1007"/>
        </w:numPr>
      </w:pPr>
      <w:r>
        <w:t xml:space="preserve">FY26 buyback guide raised to the high end at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  <m:r>
          <m:t>350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620M remaining</w:t>
      </w:r>
      <w:r>
        <w:t xml:space="preserve"> </w:t>
      </w:r>
      <w:r>
        <w:t xml:space="preserve">on the authorization. Repurchases were</w:t>
      </w:r>
      <w:r>
        <w:t xml:space="preserve"> </w:t>
      </w:r>
      <w:r>
        <w:rPr>
          <w:b/>
          <w:bCs/>
        </w:rPr>
        <w:t xml:space="preserve">accelerated in Q1</w:t>
      </w:r>
      <w:r>
        <w:t xml:space="preserve"> </w:t>
      </w:r>
      <w:r>
        <w:t xml:space="preserve">(</w:t>
      </w:r>
      <w:r>
        <w:t xml:space="preserve">$125M) given "compelling valuation" — worth watching whether that pace continued into Q2 now that the stock is ~$</w:t>
      </w:r>
      <w:r>
        <w:t xml:space="preserve">60 higher.</w:t>
      </w:r>
    </w:p>
    <w:p>
      <w:pPr>
        <w:pStyle w:val="Compact"/>
        <w:numPr>
          <w:ilvl w:val="0"/>
          <w:numId w:val="1007"/>
        </w:numPr>
      </w:pPr>
      <w:r>
        <w:t xml:space="preserve">Quarterly dividend</w:t>
      </w:r>
      <w:r>
        <w:t xml:space="preserve"> </w:t>
      </w:r>
      <m:oMath>
        <m:r>
          <m:t>0.88</m:t>
        </m:r>
        <m:r>
          <m:rPr>
            <m:sty m:val="p"/>
          </m:rPr>
          <m:t>;</m:t>
        </m:r>
        <m:r>
          <m:t>h</m:t>
        </m:r>
        <m:r>
          <m:t>o</m:t>
        </m:r>
        <m:r>
          <m:t>l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t> </m:t>
        </m:r>
      </m:oMath>
      <w:r>
        <w:t xml:space="preserve">836M at Q1.</w:t>
      </w:r>
    </w:p>
    <w:bookmarkEnd w:id="14"/>
    <w:bookmarkStart w:id="15" w:name="what-to-listen-for-on-the-call"/>
    <w:p>
      <w:pPr>
        <w:pStyle w:val="Heading2"/>
      </w:pPr>
      <w:r>
        <w:t xml:space="preserve">What to listen for on the call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Do they raise full-year guidance again?</w:t>
      </w:r>
      <w:r>
        <w:t xml:space="preserve"> </w:t>
      </w:r>
      <w:r>
        <w:t xml:space="preserve">They lifted the outlook at both Q2'25 and Q1'26. Another raise (especially to Lifestyle's ~10% or the underlying high-single-digit enterprise growth) would be the cleanest bull signal.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Underlying (ex-PYD, ex-cat) growth</w:t>
      </w:r>
      <w:r>
        <w:t xml:space="preserve"> </w:t>
      </w:r>
      <w:r>
        <w:t xml:space="preserve">— the number that cuts through the noisy comp.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Mobile momentum durability</w:t>
      </w:r>
      <w:r>
        <w:t xml:space="preserve"> </w:t>
      </w:r>
      <w:r>
        <w:t xml:space="preserve">— is the recent surge a new run-rate or a peak?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Auto loss trends</w:t>
      </w:r>
      <w:r>
        <w:t xml:space="preserve"> </w:t>
      </w:r>
      <w:r>
        <w:t xml:space="preserve">— confirmation the inflection is holding.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Housing placement-rate trajectory</w:t>
      </w:r>
      <w:r>
        <w:t xml:space="preserve"> </w:t>
      </w:r>
      <w:r>
        <w:t xml:space="preserve">— any sign the voluntary market is softening.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Buyback cadence</w:t>
      </w:r>
      <w:r>
        <w:t xml:space="preserve"> </w:t>
      </w:r>
      <w:r>
        <w:t xml:space="preserve">at a higher stock price, and any</w:t>
      </w:r>
      <w:r>
        <w:t xml:space="preserve"> </w:t>
      </w:r>
      <w:r>
        <w:rPr>
          <w:b/>
          <w:bCs/>
        </w:rPr>
        <w:t xml:space="preserve">M&amp;A</w:t>
      </w:r>
      <w:r>
        <w:t xml:space="preserve"> </w:t>
      </w:r>
      <w:r>
        <w:t xml:space="preserve">signaling.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</w:t>
      </w:r>
      <w:r>
        <w:t xml:space="preserve"> </w:t>
      </w:r>
      <w:r>
        <w:rPr>
          <w:b/>
          <w:bCs/>
        </w:rPr>
        <w:t xml:space="preserve">noisy headline</w:t>
      </w:r>
      <w:r>
        <w:t xml:space="preserve"> </w:t>
      </w:r>
      <w:r>
        <w:t xml:space="preserve">(EPS likely down ~7% YoY) that is largely a reserve-development artifact, not operational weakness. The bull case rests on</w:t>
      </w:r>
      <w:r>
        <w:t xml:space="preserve"> </w:t>
      </w:r>
      <w:r>
        <w:rPr>
          <w:b/>
          <w:bCs/>
        </w:rPr>
        <w:t xml:space="preserve">Global Lifestyle's ~20% Q1 momentum carrying forward, an auto recovery, resilient lender-placed housing, and aggressive buybacks.</w:t>
      </w:r>
      <w:r>
        <w:t xml:space="preserve"> </w:t>
      </w:r>
      <w:r>
        <w:t xml:space="preserve">With the stock at records and ~12x, the risk is that even a solid, in-line underlying quarter is met with a muted or negative reaction unless management raises the outlook again or reassures on the sustainability of mobile/auto trends. Focus your read on the</w:t>
      </w:r>
      <w:r>
        <w:t xml:space="preserve"> </w:t>
      </w:r>
      <w:r>
        <w:rPr>
          <w:b/>
          <w:bCs/>
        </w:rPr>
        <w:t xml:space="preserve">underlying ex-PYD growth rate, the guidance revision, and Lifestyle segment trajectory</w:t>
      </w:r>
      <w:r>
        <w:t xml:space="preserve"> </w:t>
      </w:r>
      <w:r>
        <w:t xml:space="preserve">rather than the optically lower headline EPS.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Note: Figures are drawn from Assurant's Q1'26 and Q2'25 earnings releases/calls and public pre-earnings previews; consensus estimates (~</w:t>
      </w:r>
      <m:oMath>
        <m:r>
          <m:t>5.16</m:t>
        </m:r>
        <m:r>
          <m:t>E</m:t>
        </m:r>
        <m:r>
          <m:t>P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rPr>
          <w:i/>
          <w:iCs/>
        </w:rPr>
        <w:t xml:space="preserve">2.6B revenue) are third-party Street compilations and may differ from the metric basis AIZ reports. Verify against the actual release.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2026-08-04T01:52:05Z</dcterms:created>
  <dcterms:modified xsi:type="dcterms:W3CDTF">2026-08-04T01:52:05Z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