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3e6358aada4106584400349a62184937ef797ca"/>
    <w:p>
      <w:pPr>
        <w:pStyle w:val="Heading1"/>
      </w:pPr>
      <w:r>
        <w:t xml:space="preserve">Assurant, Inc. (AIZ)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August 4, 2026 (after market close)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Wednesday, August 5, 2026, 8:00 a.m. ET</w:t>
      </w:r>
    </w:p>
    <w:p>
      <w:r>
        <w:pict>
          <v:rect style="width:0;height:1.5pt" o:hralign="center" o:hrstd="t" o:hr="t"/>
        </w:pict>
      </w:r>
    </w:p>
    <w:bookmarkStart w:id="9" w:name="Xc0767b08c5b0fe460ae534fe40e18a6c7a4c873"/>
    <w:p>
      <w:pPr>
        <w:pStyle w:val="Heading2"/>
      </w:pPr>
      <w:r>
        <w:t xml:space="preserve">Setup: A Stock at All-Time Highs Heading Into the Print</w:t>
      </w:r>
    </w:p>
    <w:p>
      <w:pPr>
        <w:pStyle w:val="FirstParagraph"/>
      </w:pPr>
      <w:r>
        <w:t xml:space="preserve">AIZ enters this report near record territory. Shares closed at</w:t>
      </w:r>
      <w:r>
        <w:t xml:space="preserve"> </w:t>
      </w:r>
      <w:r>
        <w:rPr>
          <w:b/>
          <w:bCs/>
        </w:rPr>
        <w:t xml:space="preserve">$282.43 on August 3</w:t>
      </w:r>
      <w:r>
        <w:t xml:space="preserve">, having rallied from roughly $216-220 in mid-February to fresh all-time highs above $284 in late July. The stock is trading well above its 50- and 200-day moving averages, and per one recent report investors in the property &amp; casualty insurance segment have had steady hands going into earnings, with share prices flat over the last month, while Assurant is down 2.9% during the same time and is heading into earnings with an average analyst price target of $293 (compared to the current share price of $279.19). Sell-side sentiment has been broadly constructive: nine research analysts have rated the stock Buy and one Hold, giving a consensus "Moderate Buy" rating and a consensus price target near $291. Recent target moves have skewed higher — Morgan Stanley raised its target to $300 with an Overweight rating, and Truist lifted its target to $310 with a Buy rating.</w:t>
      </w:r>
    </w:p>
    <w:bookmarkEnd w:id="9"/>
    <w:bookmarkStart w:id="10" w:name="what-the-street-expects"/>
    <w:p>
      <w:pPr>
        <w:pStyle w:val="Heading2"/>
      </w:pPr>
      <w:r>
        <w:t xml:space="preserve">What the Street Expects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Consensus sits at</w:t>
      </w:r>
      <w:r>
        <w:t xml:space="preserve"> </w:t>
      </w:r>
      <w:r>
        <w:rPr>
          <w:b/>
          <w:bCs/>
        </w:rPr>
        <w:t xml:space="preserve">$5.16</w:t>
      </w:r>
      <w:r>
        <w:t xml:space="preserve">, which would represent a year-over-year decrease of 7.1%.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Consensus is roughly</w:t>
      </w:r>
      <w:r>
        <w:t xml:space="preserve"> </w:t>
      </w:r>
      <w:r>
        <w:rPr>
          <w:b/>
          <w:bCs/>
        </w:rPr>
        <w:t xml:space="preserve">$3.40–3.43 billion</w:t>
      </w:r>
      <w:r>
        <w:t xml:space="preserve">, implying 8.5% growth from the year-ago quarter, alongside an expected decline in the bottom line.</w:t>
      </w:r>
    </w:p>
    <w:p>
      <w:pPr>
        <w:pStyle w:val="Compact"/>
        <w:numPr>
          <w:ilvl w:val="0"/>
          <w:numId w:val="1001"/>
        </w:numPr>
      </w:pPr>
      <w:r>
        <w:t xml:space="preserve">Zacks' quantitative model is not flagging a clean beat setup this quarter: Assurant's Earnings ESP is 0.00% because the Most Accurate Estimate and Zacks Consensus Estimate are both pegged at $5.16.</w:t>
      </w:r>
    </w:p>
    <w:p>
      <w:pPr>
        <w:pStyle w:val="FirstParagraph"/>
      </w:pPr>
      <w:r>
        <w:t xml:space="preserve">Importantly, the expected EPS</w:t>
      </w:r>
      <w:r>
        <w:t xml:space="preserve"> </w:t>
      </w:r>
      <w:r>
        <w:rPr>
          <w:i/>
          <w:iCs/>
        </w:rPr>
        <w:t xml:space="preserve">decline</w:t>
      </w:r>
      <w:r>
        <w:t xml:space="preserve"> </w:t>
      </w:r>
      <w:r>
        <w:t xml:space="preserve">is a base-effect story, not a deteriorating fundamentals story — Global Housing's Q2 2025 comparison was inflated by an outsized favorable prior-year reserve development (PYD) benefit that management has already guided will not repeat at the same magnitude in 2026 (more below).</w:t>
      </w:r>
    </w:p>
    <w:bookmarkEnd w:id="10"/>
    <w:bookmarkStart w:id="11" w:name="q1-2026-recap-a-very-high-bar"/>
    <w:p>
      <w:pPr>
        <w:pStyle w:val="Heading2"/>
      </w:pPr>
      <w:r>
        <w:t xml:space="preserve">Q1 2026 Recap: A Very High Bar</w:t>
      </w:r>
    </w:p>
    <w:p>
      <w:pPr>
        <w:pStyle w:val="FirstParagraph"/>
      </w:pPr>
      <w:r>
        <w:t xml:space="preserve">Assurant just posted what management called first quarter 2026 results with EPS of US</w:t>
      </w:r>
      <m:oMath>
        <m:r>
          <m:t>5.52</m:t>
        </m:r>
        <m:r>
          <m:rPr>
            <m:sty m:val="p"/>
          </m:rPr>
          <m:t>(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t>U</m:t>
        </m:r>
        <m:r>
          <m:t>S</m:t>
        </m:r>
      </m:oMath>
      <w:r>
        <w:t xml:space="preserve">2.86 in 1Q 2025) and revenue of US</w:t>
      </w:r>
      <m:oMath>
        <m:r>
          <m:t>3.42</m:t>
        </m:r>
        <m:r>
          <m:t>b</m:t>
        </m:r>
        <m:r>
          <m:rPr>
            <m:sty m:val="p"/>
          </m:rPr>
          <m:t>(</m:t>
        </m:r>
        <m:r>
          <m:t>u</m:t>
        </m:r>
        <m:r>
          <m:t>p</m:t>
        </m:r>
        <m:r>
          <m:t>11</m:t>
        </m:r>
      </m:oMath>
      <w:r>
        <w:t xml:space="preserve">274.1m (adjusted EPS ex-cat of $6.33, +9% y/y). Both revenue and EPS beat estimates comfortably — revenue exceeded analyst estimates by 3.3% and EPS surpassed estimates by 6.8%. Global Lifestyle delivered record earnings (EBITDA +20%), driven by Connected Living (+18%) and Global Automotive (+23%, aided by a real-estate JV gain). Off the back of that beat, management</w:t>
      </w:r>
      <w:r>
        <w:t xml:space="preserve"> </w:t>
      </w:r>
      <w:r>
        <w:rPr>
          <w:b/>
          <w:bCs/>
        </w:rPr>
        <w:t xml:space="preserve">raised full-year 2026 guidance</w:t>
      </w:r>
      <w:r>
        <w:t xml:space="preserve"> </w:t>
      </w:r>
      <w:r>
        <w:t xml:space="preserve">to low-single-digit growth in Adjusted EBITDA and EPS (ex-cat), or high-single-digit growth on an underlying basis excluding the PYD headwind, and lifted the share-buyback plan to $300–350 million (upper end of prior range). The stock's subsequent surge (+~9% in the month after Q1, per a 9.11% 1-month share price return) largely reflects the market pricing in continuation of this momentum into Q2.</w:t>
      </w:r>
    </w:p>
    <w:bookmarkEnd w:id="11"/>
    <w:bookmarkStart w:id="12" w:name="key-segment-storylines-to-watch"/>
    <w:p>
      <w:pPr>
        <w:pStyle w:val="Heading2"/>
      </w:pPr>
      <w:r>
        <w:t xml:space="preserve">Key Segment Storylines to Watch</w:t>
      </w:r>
    </w:p>
    <w:p>
      <w:pPr>
        <w:pStyle w:val="FirstParagraph"/>
      </w:pPr>
      <w:r>
        <w:rPr>
          <w:b/>
          <w:bCs/>
        </w:rPr>
        <w:t xml:space="preserve">1. Global Lifestyle / Connected Living — the growth engine.</w:t>
      </w:r>
      <w:r>
        <w:t xml:space="preserve"> </w:t>
      </w:r>
      <w:r>
        <w:t xml:space="preserve">This is the segment investors will scrutinize most. On the Q1 call, management flagged</w:t>
      </w:r>
      <w:r>
        <w:t xml:space="preserve"> </w:t>
      </w:r>
      <w:r>
        <w:rPr>
          <w:b/>
          <w:bCs/>
        </w:rPr>
        <w:t xml:space="preserve">four new mobile program wins</w:t>
      </w:r>
      <w:r>
        <w:t xml:space="preserve"> </w:t>
      </w:r>
      <w:r>
        <w:t xml:space="preserve">in the quarter — a T-Mobile/US Cellular subscriber migration, a new reverse-logistics deal with another major U.S. carrier, an expanded Xfinity Mobile partnership, and new prepaid protection products with Verizon (Total Wireless, Straight Talk). Management guided full-year Global Lifestyle EBITDA growth to</w:t>
      </w:r>
      <w:r>
        <w:t xml:space="preserve"> </w:t>
      </w:r>
      <w:r>
        <w:rPr>
          <w:b/>
          <w:bCs/>
        </w:rPr>
        <w:t xml:space="preserve">~10%</w:t>
      </w:r>
      <w:r>
        <w:t xml:space="preserve">, up from prior guidance, calling it the primary driver of enterprise growth. Investors should listen for: subscriber/device count trends (up to ~69 million devices protected as of Q1), trade-in/reverse logistics device volumes (up ~2 million sequentially in Q1), and commentary on Best Buy and Chase ramp economics.</w:t>
      </w:r>
    </w:p>
    <w:p>
      <w:pPr>
        <w:pStyle w:val="BodyText"/>
      </w:pPr>
      <w:r>
        <w:rPr>
          <w:b/>
          <w:bCs/>
        </w:rPr>
        <w:t xml:space="preserve">2. Global Automotive — is the inflection durable?</w:t>
      </w:r>
      <w:r>
        <w:t xml:space="preserve"> </w:t>
      </w:r>
      <w:r>
        <w:t xml:space="preserve">Auto EBITDA grew 23% in Q1 (9% ex a one-time real-estate gain) on improving loss experience following prior rate actions. Watch for confirmation that favorable claims frequency/severity trends are holding into Q2, and any read on new written premium trends (which were soft in Q1).</w:t>
      </w:r>
    </w:p>
    <w:p>
      <w:pPr>
        <w:pStyle w:val="BodyText"/>
      </w:pPr>
      <w:r>
        <w:rPr>
          <w:b/>
          <w:bCs/>
        </w:rPr>
        <w:t xml:space="preserve">3. Global Housing — the swing factor for the print.</w:t>
      </w:r>
      <w:r>
        <w:t xml:space="preserve"> </w:t>
      </w:r>
      <w:r>
        <w:t xml:space="preserve">This is where the "tough comp" bites. In Q2 2025, Global Housing adjusted EBITDA ex-cat grew 18% to</w:t>
      </w:r>
      <w:r>
        <w:t xml:space="preserve"> </w:t>
      </w:r>
      <m:oMath>
        <m:r>
          <m:t>244.2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b</m:t>
        </m:r>
        <m:r>
          <m:t>o</m:t>
        </m:r>
        <m:r>
          <m:t>o</m:t>
        </m:r>
        <m:r>
          <m:t>s</m:t>
        </m:r>
        <m:r>
          <m:t>t</m:t>
        </m:r>
        <m:r>
          <m:t>e</m:t>
        </m:r>
        <m:r>
          <m:t>d</m:t>
        </m:r>
        <m:r>
          <m:t>b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33.9 million of favorable non-catastrophe prior-year reserve development**. Management has guided that 2026 must overcome **</w:t>
      </w:r>
      <m:oMath>
        <m:r>
          <m:t>94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f</m:t>
        </m:r>
        <m:r>
          <m:t>a</m:t>
        </m:r>
        <m:r>
          <m:t>v</m:t>
        </m:r>
        <m:r>
          <m:t>o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P</m:t>
        </m:r>
        <m:r>
          <m:t>Y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−</m:t>
        </m:r>
        <m:r>
          <m:t>w</m:t>
        </m:r>
        <m:r>
          <m:t>i</m:t>
        </m:r>
        <m:r>
          <m:t>d</m:t>
        </m:r>
        <m:r>
          <m:t>e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t>2025</m:t>
        </m:r>
        <m:r>
          <m:rPr>
            <m:sty m:val="p"/>
          </m:rPr>
          <m:t>(</m:t>
        </m:r>
      </m:oMath>
      <w:r>
        <w:t xml:space="preserve">113M in 2025 vs. only $19M booked in Q1 2026), and that the non-cat loss ratio would normalize to the high-30s% range. Expect continued strength in lender-placed policies-in-force (aided by a hard voluntary homeowners market) and renters/PMC channel growth, but a normalizing loss ratio comp. Full-year guidance calls for Global Housing earnings (ex-cat) to "decline only modestly."</w:t>
      </w:r>
    </w:p>
    <w:p>
      <w:pPr>
        <w:pStyle w:val="BodyText"/>
      </w:pPr>
      <w:r>
        <w:rPr>
          <w:b/>
          <w:bCs/>
        </w:rPr>
        <w:t xml:space="preserve">4. Catastrophe exposure — favorable backdrop into Q2/Q3.</w:t>
      </w:r>
      <w:r>
        <w:t xml:space="preserve"> </w:t>
      </w:r>
      <w:r>
        <w:t xml:space="preserve">Assurant's 2026 catastrophe reinsurance program (effective April 1) locked in</w:t>
      </w:r>
      <w:r>
        <w:t xml:space="preserve"> </w:t>
      </w:r>
      <w:r>
        <w:rPr>
          <w:b/>
          <w:bCs/>
        </w:rPr>
        <w:t xml:space="preserve">~$180 million of premium</w:t>
      </w:r>
      <w:r>
        <w:t xml:space="preserve"> </w:t>
      </w:r>
      <w:r>
        <w:t xml:space="preserve">(down from $200 million in 2025) with a $160 million per-event retention and up to a 1-in-265-year PML — a more favorable renewal reflecting broader market softening. Industry data support a relatively benign H1: global insured catastrophe losses of about $47 billion in H1 2026 were the lowest level recorded since 2019, while economic losses were 25% below the century's average, and 2026 US severe convective storm losses, while marking an 11th consecutive year above $20 billion, are running below the 5- and 10-year H1 averages. That said, seasonality matters: management noted on the Q1 call that hurricane-season impacts are typically concentrated in Q3, and forecasters caution that a below-average hurricane outlook does not reduce underlying landfall risk, with Colorado State projecting 13 named storms, six hurricanes and two major hurricanes for 2026. Assurant's full-year cat assumption is $185 million; any Q2 catastrophe activity (Q2 2025 had $29.8M reportable cats) will be a modest EPS swing factor but the real test is Q3.</w:t>
      </w:r>
    </w:p>
    <w:bookmarkEnd w:id="12"/>
    <w:bookmarkStart w:id="13" w:name="capital-return--balance-sheet"/>
    <w:p>
      <w:pPr>
        <w:pStyle w:val="Heading2"/>
      </w:pPr>
      <w:r>
        <w:t xml:space="preserve">Capital Return &amp; Balance Sheet</w:t>
      </w:r>
    </w:p>
    <w:p>
      <w:pPr>
        <w:pStyle w:val="FirstParagraph"/>
      </w:pPr>
      <w:r>
        <w:t xml:space="preserve">Assurant entered Q2 with</w:t>
      </w:r>
      <w:r>
        <w:t xml:space="preserve"> </w:t>
      </w:r>
      <w:r>
        <w:rPr>
          <w:b/>
          <w:bCs/>
        </w:rPr>
        <w:t xml:space="preserve">$836 million of holding-company liquidity</w:t>
      </w:r>
      <w:r>
        <w:t xml:space="preserve"> </w:t>
      </w:r>
      <w:r>
        <w:t xml:space="preserve">(well above its $225M minimum) after accelerating buybacks — $125 million repurchased in Q1 plus another $30 million through May 1. Full-year buyback guidance was raised to $300–350 million. Watch for confirmation of pace and any M&amp;A commentary (Home Warranty / Compass International ramp continues to be a small but strategically watched growth vector).</w:t>
      </w:r>
    </w:p>
    <w:bookmarkEnd w:id="13"/>
    <w:bookmarkStart w:id="14" w:name="valuation-context"/>
    <w:p>
      <w:pPr>
        <w:pStyle w:val="Heading2"/>
      </w:pPr>
      <w:r>
        <w:t xml:space="preserve">Valuation Context</w:t>
      </w:r>
    </w:p>
    <w:p>
      <w:pPr>
        <w:pStyle w:val="FirstParagraph"/>
      </w:pPr>
      <w:r>
        <w:t xml:space="preserve">At current levels (~</w:t>
      </w:r>
      <m:oMath>
        <m:r>
          <m:t>280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I</m:t>
        </m:r>
        <m:r>
          <m:t>Z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a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13</m:t>
        </m:r>
        <m:r>
          <m:rPr>
            <m:sty m:val="p"/>
          </m:rPr>
          <m:t>–</m:t>
        </m:r>
        <m:r>
          <m:t>14</m:t>
        </m:r>
        <m:r>
          <m:t>x</m:t>
        </m:r>
        <m:r>
          <m:t>f</m:t>
        </m:r>
        <m:r>
          <m:t>o</m:t>
        </m:r>
        <m:r>
          <m:t>r</m:t>
        </m:r>
        <m:r>
          <m:t>w</m:t>
        </m:r>
        <m:r>
          <m:t>a</m:t>
        </m:r>
        <m:r>
          <m:t>r</m:t>
        </m:r>
        <m:r>
          <m:t>d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o</m:t>
        </m:r>
        <m:r>
          <m:t>n</m:t>
        </m:r>
        <m:r>
          <m:t>e</m:t>
        </m:r>
        <m:r>
          <m:t>a</m:t>
        </m:r>
        <m:r>
          <m:t>n</m:t>
        </m:r>
        <m:r>
          <m:t>a</m:t>
        </m:r>
        <m:r>
          <m:t>l</m:t>
        </m:r>
        <m:r>
          <m:t>y</m:t>
        </m:r>
        <m:r>
          <m:t>s</m:t>
        </m:r>
        <m:r>
          <m:t>i</m:t>
        </m:r>
        <m:r>
          <m:t>s</m:t>
        </m:r>
        <m:r>
          <m:t>n</m:t>
        </m:r>
        <m:r>
          <m:t>o</m:t>
        </m:r>
        <m:r>
          <m:t>t</m:t>
        </m:r>
        <m:r>
          <m:t>e</m:t>
        </m:r>
        <m:r>
          <m:t>d</m:t>
        </m:r>
        <m:r>
          <m:t>s</m:t>
        </m:r>
        <m:r>
          <m:t>i</m:t>
        </m:r>
        <m:r>
          <m:t>t</m:t>
        </m:r>
        <m:r>
          <m:t>s</m:t>
        </m:r>
        <m:r>
          <m:t>a</m:t>
        </m:r>
        <m:r>
          <m:t>b</m:t>
        </m:r>
        <m:r>
          <m:t>o</m:t>
        </m:r>
        <m:r>
          <m:t>v</m:t>
        </m:r>
        <m:r>
          <m:t>e</m:t>
        </m:r>
        <m:r>
          <m:t>b</m:t>
        </m:r>
        <m:r>
          <m:t>o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U</m:t>
        </m:r>
        <m:r>
          <m:t>S</m:t>
        </m:r>
        <m:r>
          <m:t>I</m:t>
        </m:r>
        <m:r>
          <m:t>n</m:t>
        </m:r>
        <m:r>
          <m:t>s</m:t>
        </m:r>
        <m:r>
          <m:t>u</m:t>
        </m:r>
        <m:r>
          <m:t>r</m:t>
        </m:r>
        <m:r>
          <m:t>a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d</m:t>
        </m:r>
        <m:r>
          <m:t>u</m:t>
        </m:r>
        <m:r>
          <m:t>s</m:t>
        </m:r>
        <m:r>
          <m:t>t</m:t>
        </m:r>
        <m:r>
          <m:t>r</m:t>
        </m:r>
        <m:r>
          <m:t>y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f</m:t>
        </m:r>
        <m:r>
          <m:t>11.6</m:t>
        </m:r>
        <m:r>
          <m:t>x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p</m:t>
        </m:r>
        <m:r>
          <m:t>e</m:t>
        </m:r>
        <m:r>
          <m:t>e</m:t>
        </m:r>
        <m:r>
          <m:t>r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f</m:t>
        </m:r>
        <m:r>
          <m:t>13.4</m:t>
        </m:r>
        <m:r>
          <m:t>x</m:t>
        </m:r>
        <m:r>
          <m:rPr>
            <m:sty m:val="p"/>
          </m:rPr>
          <m:t>.</m:t>
        </m:r>
        <m:r>
          <m:t>S</m:t>
        </m:r>
        <m:r>
          <m:t>e</m:t>
        </m:r>
        <m:r>
          <m:t>l</m:t>
        </m:r>
        <m:r>
          <m:t>l</m:t>
        </m:r>
        <m:r>
          <m:rPr>
            <m:sty m:val="p"/>
          </m:rPr>
          <m:t>−</m:t>
        </m:r>
        <m:r>
          <m:t>s</m:t>
        </m:r>
        <m:r>
          <m:t>i</m:t>
        </m:r>
        <m:r>
          <m:t>d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s</m:t>
        </m:r>
        <m:r>
          <m:t>h</m:t>
        </m:r>
        <m:r>
          <m:t>a</m:t>
        </m:r>
        <m:r>
          <m:t>v</m:t>
        </m:r>
        <m:r>
          <m:t>e</m:t>
        </m:r>
        <m:r>
          <m:t>b</m:t>
        </m:r>
        <m:r>
          <m:t>e</m:t>
        </m:r>
        <m:r>
          <m:t>e</m:t>
        </m:r>
        <m:r>
          <m:t>n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i</m:t>
        </m:r>
        <m:r>
          <m:t>n</m:t>
        </m:r>
        <m:r>
          <m:t>g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r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B</m:t>
        </m:r>
        <m:r>
          <m:t>e</m:t>
        </m:r>
        <m:r>
          <m:t>a</m:t>
        </m:r>
        <m:r>
          <m:t>t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 </m:t>
        </m:r>
      </m:oMath>
      <w:r>
        <w:t xml:space="preserve">283.57, Simply Wall St citing analysts raising average targets to ~$276.83 from $260), suggesting expectations are elevated — a "beat and raise" quarter is arguably already partly priced in, raising the bar for the stock to react positively even to good numbers.</w:t>
      </w:r>
    </w:p>
    <w:bookmarkEnd w:id="14"/>
    <w:bookmarkStart w:id="15" w:name="bottom-line--what-to-watch-on-the-call"/>
    <w:p>
      <w:pPr>
        <w:pStyle w:val="Heading2"/>
      </w:pPr>
      <w:r>
        <w:t xml:space="preserve">Bottom Line — What to Watch On the Call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Global Lifestyle momentum</w:t>
      </w:r>
      <w:r>
        <w:t xml:space="preserve">: Is Connected Living's 18%+ growth pace sustainable, or does Q1 represent a seasonal/timing peak (a question management was already pressed on last quarter)?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Global Housing normalization</w:t>
      </w:r>
      <w:r>
        <w:t xml:space="preserve">: How much of the y/y EPS "decline" is purely the PYD comp vs. genuine underlying softness (e.g., placement rates rolling over as the voluntary homeowners market loosens)?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Guidance trajectory</w:t>
      </w:r>
      <w:r>
        <w:t xml:space="preserve">: Does management reiterate or again raise the low-single-digit (high-single-digit underlying) full-year EBITDA/EPS growth framework?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Capital deployment</w:t>
      </w:r>
      <w:r>
        <w:t xml:space="preserve">: Pace of buybacks and any updates on the Home Warranty/Compass ramp or new M&amp;A.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Catastrophe positioning</w:t>
      </w:r>
      <w:r>
        <w:t xml:space="preserve">: Any early read on hurricane-season exposure heading into peak Q3 risk, given the favorable reinsurance renewal terms secured for 2026.</w:t>
      </w:r>
    </w:p>
    <w:p>
      <w:pPr>
        <w:pStyle w:val="FirstParagraph"/>
      </w:pPr>
      <w:r>
        <w:t xml:space="preserve">Given the run-up into the print and a consensus that already bakes in a y/y EPS decline (largely a reserve-development base effect), the key swing factor for the stock's reaction will likely be</w:t>
      </w:r>
      <w:r>
        <w:t xml:space="preserve"> </w:t>
      </w:r>
      <w:r>
        <w:rPr>
          <w:b/>
          <w:bCs/>
        </w:rPr>
        <w:t xml:space="preserve">forward guidance and Connected Living's growth durability</w:t>
      </w:r>
      <w:r>
        <w:t xml:space="preserve"> </w:t>
      </w:r>
      <w:r>
        <w:t xml:space="preserve">rather than the backward-looking Q2 print itself.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2026-08-04T01:51:58Z</dcterms:created>
  <dcterms:modified xsi:type="dcterms:W3CDTF">2026-08-04T01:51:58Z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