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aiz-q2-2026-earnings-preview"/>
    <w:p>
      <w:pPr>
        <w:pStyle w:val="Heading1"/>
      </w:pPr>
      <w:r>
        <w:t xml:space="preserve">AIZ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Assurant is scheduled to release Q2 results</w:t>
      </w:r>
      <w:r>
        <w:t xml:space="preserve"> </w:t>
      </w:r>
      <w:r>
        <w:rPr>
          <w:b/>
          <w:bCs/>
        </w:rPr>
        <w:t xml:space="preserve">after the market closes today, August 4, 2026</w:t>
      </w:r>
      <w:r>
        <w:t xml:space="preserve">. The earnings call is</w:t>
      </w:r>
      <w:r>
        <w:t xml:space="preserve"> </w:t>
      </w:r>
      <w:r>
        <w:rPr>
          <w:b/>
          <w:bCs/>
        </w:rPr>
        <w:t xml:space="preserve">tomorrow, August 5, at 8:00 a.m. ET</w:t>
      </w:r>
      <w:r>
        <w:t xml:space="preserve">. (</w:t>
      </w:r>
      <w:hyperlink r:id="rId9">
        <w:r>
          <w:rPr>
            <w:rStyle w:val="Hyperlink"/>
          </w:rPr>
          <w:t xml:space="preserve">ir.assurant.com</w:t>
        </w:r>
      </w:hyperlink>
      <w:r>
        <w:t xml:space="preserve">)</w:t>
      </w:r>
    </w:p>
    <w:bookmarkStart w:id="11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Assurant enters the quarter with strong operating momentum and higher expectations. Q1 was its best quarter on record: adjusted EBITDA excluding catastrophes increased 6% to $465.9 million, while adjusted EPS excluding catastrophes rose 9% to $6.33. Global Lifestyle was the primary driver, with segment EBITDA up 20%, although the result included a $13.2 million real-estate joint-venture gain. (</w:t>
      </w:r>
      <w:hyperlink r:id="rId10">
        <w:r>
          <w:rPr>
            <w:rStyle w:val="Hyperlink"/>
          </w:rPr>
          <w:t xml:space="preserve">assurant.com</w:t>
        </w:r>
      </w:hyperlink>
      <w:r>
        <w:t xml:space="preserve">)</w:t>
      </w:r>
    </w:p>
    <w:p>
      <w:pPr>
        <w:pStyle w:val="BodyText"/>
      </w:pPr>
      <w:r>
        <w:t xml:space="preserve">Management consequently raised its 2026 outlook 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Low-single-digit growth</w:t>
      </w:r>
      <w:r>
        <w:t xml:space="preserve"> </w:t>
      </w:r>
      <w:r>
        <w:t xml:space="preserve">in adjusted EBITDA excluding catastrophes.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Low-single-digit growth</w:t>
      </w:r>
      <w:r>
        <w:t xml:space="preserve"> </w:t>
      </w:r>
      <w:r>
        <w:t xml:space="preserve">in adjusted EPS excluding catastrophes.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High-single-digit underlying growth</w:t>
      </w:r>
      <w:r>
        <w:t xml:space="preserve"> </w:t>
      </w:r>
      <w:r>
        <w:t xml:space="preserve">in both measures after normalizing for prior-year reserve development.</w:t>
      </w:r>
    </w:p>
    <w:p>
      <w:pPr>
        <w:pStyle w:val="Compact"/>
        <w:numPr>
          <w:ilvl w:val="0"/>
          <w:numId w:val="1001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10% Global Lifestyle EBITDA growth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modest decline</w:t>
      </w:r>
      <w:r>
        <w:t xml:space="preserve"> </w:t>
      </w:r>
      <w:r>
        <w:t xml:space="preserve">in Global Housing EBITDA excluding catastrophes, but solid underlying growth after reserve normalization.</w:t>
      </w:r>
    </w:p>
    <w:p>
      <w:pPr>
        <w:pStyle w:val="Compact"/>
        <w:numPr>
          <w:ilvl w:val="0"/>
          <w:numId w:val="1001"/>
        </w:numPr>
      </w:pPr>
      <m:oMath>
        <m:r>
          <m:t>300</m:t>
        </m:r>
        <m:r>
          <m:rPr>
            <m:sty m:val="p"/>
          </m:rPr>
          <m:t>–</m:t>
        </m:r>
      </m:oMath>
      <w:r>
        <w:rPr>
          <w:b/>
          <w:bCs/>
        </w:rPr>
        <w:t xml:space="preserve">350 million of share repurchases</w:t>
      </w:r>
      <w:r>
        <w:t xml:space="preserve">. (</w:t>
      </w:r>
      <w:hyperlink r:id="rId10">
        <w:r>
          <w:rPr>
            <w:rStyle w:val="Hyperlink"/>
          </w:rPr>
          <w:t xml:space="preserve">assurant.com</w:t>
        </w:r>
      </w:hyperlink>
      <w:r>
        <w:t xml:space="preserve">)</w:t>
      </w:r>
    </w:p>
    <w:p>
      <w:pPr>
        <w:pStyle w:val="FirstParagraph"/>
      </w:pPr>
      <w:r>
        <w:t xml:space="preserve">The stock has advanced roughly</w:t>
      </w:r>
      <w:r>
        <w:t xml:space="preserve"> </w:t>
      </w:r>
      <w:r>
        <w:rPr>
          <w:b/>
          <w:bCs/>
        </w:rPr>
        <w:t xml:space="preserve">19% since the Q1 release and 17% year to date through August 3</w:t>
      </w:r>
      <w:r>
        <w:t xml:space="preserve">, so a routine reiteration may not carry the same upside as it would have three months ago.</w:t>
      </w:r>
    </w:p>
    <w:bookmarkEnd w:id="11"/>
    <w:bookmarkStart w:id="13" w:name="key-comparison-points"/>
    <w:p>
      <w:pPr>
        <w:pStyle w:val="Heading2"/>
      </w:pPr>
      <w:r>
        <w:t xml:space="preserve">Key comparison points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</w:t>
            </w:r>
          </w:p>
        </w:tc>
        <w:tc>
          <w:tcPr/>
          <w:p>
            <w:pPr>
              <w:pStyle w:val="Compact"/>
            </w:pPr>
            <w:r>
              <w:t xml:space="preserve">What to watch in Q2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EBITDA, ex-catastrophes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$415.8M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$465.9M</w:t>
            </w:r>
          </w:p>
        </w:tc>
        <w:tc>
          <w:tcPr/>
          <w:p>
            <w:pPr>
              <w:pStyle w:val="Compact"/>
            </w:pPr>
            <w:r>
              <w:t xml:space="preserve">Quality and sustainability of underlying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EPS, ex-catastrophes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$6.33</w:t>
            </w:r>
          </w:p>
        </w:tc>
        <w:tc>
          <w:tcPr/>
          <w:p>
            <w:pPr>
              <w:pStyle w:val="Compact"/>
            </w:pPr>
            <w:r>
              <w:t xml:space="preserve">Growth after separating cats and reserve development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Lifestyle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$201.4M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$236.7M</w:t>
            </w:r>
          </w:p>
        </w:tc>
        <w:tc>
          <w:tcPr/>
          <w:p>
            <w:pPr>
              <w:pStyle w:val="Compact"/>
            </w:pPr>
            <w:r>
              <w:t xml:space="preserve">Mobile, trade-in and Automotive momentum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Housing EBITDA, ex-catastrophes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$244.2M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$261.1M</w:t>
            </w:r>
          </w:p>
        </w:tc>
        <w:tc>
          <w:tcPr/>
          <w:p>
            <w:pPr>
              <w:pStyle w:val="Compact"/>
            </w:pPr>
            <w:r>
              <w:t xml:space="preserve">Loss ratio and reserve-development normalization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Corporate and Other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$(29.8)M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$(31.9)M</w:t>
            </w:r>
          </w:p>
        </w:tc>
        <w:tc>
          <w:tcPr/>
          <w:p>
            <w:pPr>
              <w:pStyle w:val="Compact"/>
            </w:pPr>
            <w:r>
              <w:t xml:space="preserve">Home Warranty investment spending</w:t>
            </w:r>
          </w:p>
        </w:tc>
      </w:tr>
    </w:tbl>
    <w:p>
      <w:pPr>
        <w:pStyle w:val="BodyText"/>
      </w:pPr>
      <w:r>
        <w:t xml:space="preserve">Q2 2025 was a strong comparison quarter: consolidated adjusted EBITDA excluding catastrophes rose 13%, Lifestyle EBITDA grew 6%, and Housing EBITDA excluding catastrophes increased 18%. (</w:t>
      </w:r>
      <w:hyperlink r:id="rId12">
        <w:r>
          <w:rPr>
            <w:rStyle w:val="Hyperlink"/>
          </w:rPr>
          <w:t xml:space="preserve">sec.gov</w:t>
        </w:r>
      </w:hyperlink>
      <w:r>
        <w:t xml:space="preserve">)</w:t>
      </w:r>
    </w:p>
    <w:bookmarkEnd w:id="13"/>
    <w:bookmarkStart w:id="15" w:name="X8a906beca24e8aa335c3e18d7814b4dccadd2e4"/>
    <w:p>
      <w:pPr>
        <w:pStyle w:val="Heading2"/>
      </w:pPr>
      <w:r>
        <w:t xml:space="preserve">1. Can Global Lifestyle sustain the pace?</w:t>
      </w:r>
    </w:p>
    <w:p>
      <w:pPr>
        <w:pStyle w:val="FirstParagraph"/>
      </w:pPr>
      <w:r>
        <w:t xml:space="preserve">This is the most important part of the report.</w:t>
      </w:r>
    </w:p>
    <w:p>
      <w:pPr>
        <w:pStyle w:val="BodyText"/>
      </w:pPr>
      <w:r>
        <w:t xml:space="preserve">Q1 Global Lifestyle EBITDA increased 20% to $236.7 million, driven by:</w:t>
      </w:r>
    </w:p>
    <w:p>
      <w:pPr>
        <w:pStyle w:val="Compact"/>
        <w:numPr>
          <w:ilvl w:val="0"/>
          <w:numId w:val="1002"/>
        </w:numPr>
      </w:pPr>
      <w:r>
        <w:t xml:space="preserve">More than four million additional mobile-protection subscribers.</w:t>
      </w:r>
    </w:p>
    <w:p>
      <w:pPr>
        <w:pStyle w:val="Compact"/>
        <w:numPr>
          <w:ilvl w:val="0"/>
          <w:numId w:val="1002"/>
        </w:numPr>
      </w:pPr>
      <w:r>
        <w:t xml:space="preserve">The migration of U.S. Cellular subscribers following T-Mobile’s acquisition.</w:t>
      </w:r>
    </w:p>
    <w:p>
      <w:pPr>
        <w:pStyle w:val="Compact"/>
        <w:numPr>
          <w:ilvl w:val="0"/>
          <w:numId w:val="1002"/>
        </w:numPr>
      </w:pPr>
      <w:r>
        <w:t xml:space="preserve">Higher mobile trade-in and reverse-logistics volumes.</w:t>
      </w:r>
    </w:p>
    <w:p>
      <w:pPr>
        <w:pStyle w:val="Compact"/>
        <w:numPr>
          <w:ilvl w:val="0"/>
          <w:numId w:val="1002"/>
        </w:numPr>
      </w:pPr>
      <w:r>
        <w:t xml:space="preserve">Contributions from newer programs, including Best Buy.</w:t>
      </w:r>
    </w:p>
    <w:p>
      <w:pPr>
        <w:pStyle w:val="Compact"/>
        <w:numPr>
          <w:ilvl w:val="0"/>
          <w:numId w:val="1002"/>
        </w:numPr>
      </w:pPr>
      <w:r>
        <w:t xml:space="preserve">Improving Global Automotive loss experience.</w:t>
      </w:r>
    </w:p>
    <w:p>
      <w:pPr>
        <w:pStyle w:val="Compact"/>
        <w:numPr>
          <w:ilvl w:val="0"/>
          <w:numId w:val="1002"/>
        </w:numPr>
      </w:pPr>
      <w:r>
        <w:t xml:space="preserve">Higher investment income.</w:t>
      </w:r>
    </w:p>
    <w:p>
      <w:pPr>
        <w:pStyle w:val="FirstParagraph"/>
      </w:pPr>
      <w:r>
        <w:t xml:space="preserve">However, approximately $13 million of Q1 EBITDA came from a non-recurring real-estate gain. Excluding that item, Lifestyle growth was still healthy but materially below the reported 20%.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Assurant’s roughly 10% full-year Lifestyle target implies about</w:t>
      </w:r>
      <w:r>
        <w:t xml:space="preserve"> </w:t>
      </w:r>
      <w:r>
        <w:rPr>
          <w:b/>
          <w:bCs/>
        </w:rPr>
        <w:t xml:space="preserve">$881 million</w:t>
      </w:r>
      <w:r>
        <w:t xml:space="preserve"> </w:t>
      </w:r>
      <w:r>
        <w:t xml:space="preserve">of 2026 EBITDA. After Q1, the remaining three quarters need approximately</w:t>
      </w:r>
      <w:r>
        <w:t xml:space="preserve"> </w:t>
      </w:r>
      <w:r>
        <w:rPr>
          <w:b/>
          <w:bCs/>
        </w:rPr>
        <w:t xml:space="preserve">7% year-over-year growth in aggregate</w:t>
      </w:r>
      <w:r>
        <w:t xml:space="preserve">. That is achievable without repeating Q1’s reported growth rate.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3"/>
        </w:numPr>
      </w:pPr>
      <w:r>
        <w:t xml:space="preserve">Mobile-protection subscriber growth and retention.</w:t>
      </w:r>
    </w:p>
    <w:p>
      <w:pPr>
        <w:pStyle w:val="Compact"/>
        <w:numPr>
          <w:ilvl w:val="0"/>
          <w:numId w:val="1003"/>
        </w:numPr>
      </w:pPr>
      <w:r>
        <w:t xml:space="preserve">Trade-in and reverse-logistics volumes and margins.</w:t>
      </w:r>
    </w:p>
    <w:p>
      <w:pPr>
        <w:pStyle w:val="Compact"/>
        <w:numPr>
          <w:ilvl w:val="0"/>
          <w:numId w:val="1003"/>
        </w:numPr>
      </w:pPr>
      <w:r>
        <w:t xml:space="preserve">The earnings ramp from T-Mobile/U.S. Cellular, Verizon prepaid brands, Xfinity Mobile and Best Buy.</w:t>
      </w:r>
    </w:p>
    <w:p>
      <w:pPr>
        <w:pStyle w:val="Compact"/>
        <w:numPr>
          <w:ilvl w:val="0"/>
          <w:numId w:val="1003"/>
        </w:numPr>
      </w:pPr>
      <w:r>
        <w:t xml:space="preserve">Whether Global Automotive’s loss improvement continues without help from one-time investment gains.</w:t>
      </w:r>
    </w:p>
    <w:p>
      <w:pPr>
        <w:pStyle w:val="Compact"/>
        <w:numPr>
          <w:ilvl w:val="0"/>
          <w:numId w:val="1003"/>
        </w:numPr>
      </w:pPr>
      <w:r>
        <w:t xml:space="preserve">Commentary on the timing and profitability of the new U.S. carrier reverse-logistics program.</w:t>
      </w:r>
    </w:p>
    <w:p>
      <w:pPr>
        <w:pStyle w:val="FirstParagraph"/>
      </w:pPr>
      <w:r>
        <w:rPr>
          <w:b/>
          <w:bCs/>
        </w:rPr>
        <w:t xml:space="preserve">Positive signal:</w:t>
      </w:r>
      <w:r>
        <w:t xml:space="preserve"> </w:t>
      </w:r>
      <w:r>
        <w:t xml:space="preserve">Organic Lifestyle EBITDA growth remains high single digits or better, accompanied by another increase in the full-year outlook.</w:t>
      </w:r>
    </w:p>
    <w:p>
      <w:pPr>
        <w:pStyle w:val="BodyText"/>
      </w:pPr>
      <w:r>
        <w:rPr>
          <w:b/>
          <w:bCs/>
        </w:rPr>
        <w:t xml:space="preserve">Concern:</w:t>
      </w:r>
      <w:r>
        <w:t xml:space="preserve"> </w:t>
      </w:r>
      <w:r>
        <w:t xml:space="preserve">Strong top-line growth but limited EBITDA conversion, suggesting higher servicing costs, weaker trade-in economics or greater launch spending.</w:t>
      </w:r>
    </w:p>
    <w:bookmarkEnd w:id="15"/>
    <w:bookmarkStart w:id="17" w:name="X091403ae51e00856460a1dd73f82571966c0275"/>
    <w:p>
      <w:pPr>
        <w:pStyle w:val="Heading2"/>
      </w:pPr>
      <w:r>
        <w:t xml:space="preserve">2. Global Housing: headline comparisons may be misleading</w:t>
      </w:r>
    </w:p>
    <w:p>
      <w:pPr>
        <w:pStyle w:val="FirstParagraph"/>
      </w:pPr>
      <w:r>
        <w:t xml:space="preserve">Housing is likely to produce the noisiest year-over-year comparison.</w:t>
      </w:r>
    </w:p>
    <w:p>
      <w:pPr>
        <w:pStyle w:val="BodyText"/>
      </w:pPr>
      <w:r>
        <w:t xml:space="preserve">Q2 2025 Housing EBITDA excluding catastrophes was $244.2 million and benefited from $33.9 million of favorable non-catastrophe reserve development. Assurant’s 2026 guidance assumes no additional favorable prior-year development after the $18.8 million recognized in Q1. Consequently, Q2 2026 Housing EBITDA could decline on a reported basis even if the underlying business improves. (</w:t>
      </w:r>
      <w:hyperlink r:id="rId12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more useful indicators will be:</w:t>
      </w:r>
    </w:p>
    <w:p>
      <w:pPr>
        <w:pStyle w:val="Compact"/>
        <w:numPr>
          <w:ilvl w:val="0"/>
          <w:numId w:val="1004"/>
        </w:numPr>
      </w:pPr>
      <w:r>
        <w:t xml:space="preserve">The non-catastrophe loss ratio excluding reserve development.</w:t>
      </w:r>
    </w:p>
    <w:p>
      <w:pPr>
        <w:pStyle w:val="Compact"/>
        <w:numPr>
          <w:ilvl w:val="0"/>
          <w:numId w:val="1004"/>
        </w:numPr>
      </w:pPr>
      <w:r>
        <w:t xml:space="preserve">Lender-placed policies in force and tracked-loan growth.</w:t>
      </w:r>
    </w:p>
    <w:p>
      <w:pPr>
        <w:pStyle w:val="Compact"/>
        <w:numPr>
          <w:ilvl w:val="0"/>
          <w:numId w:val="1004"/>
        </w:numPr>
      </w:pPr>
      <w:r>
        <w:t xml:space="preserve">Average premium growth.</w:t>
      </w:r>
    </w:p>
    <w:p>
      <w:pPr>
        <w:pStyle w:val="Compact"/>
        <w:numPr>
          <w:ilvl w:val="0"/>
          <w:numId w:val="1004"/>
        </w:numPr>
      </w:pPr>
      <w:r>
        <w:t xml:space="preserve">Placement-rate trends, especially in California and Texas.</w:t>
      </w:r>
    </w:p>
    <w:p>
      <w:pPr>
        <w:pStyle w:val="Compact"/>
        <w:numPr>
          <w:ilvl w:val="0"/>
          <w:numId w:val="1004"/>
        </w:numPr>
      </w:pPr>
      <w:r>
        <w:t xml:space="preserve">Growth in specialty and renters products.</w:t>
      </w:r>
    </w:p>
    <w:p>
      <w:pPr>
        <w:pStyle w:val="Compact"/>
        <w:numPr>
          <w:ilvl w:val="0"/>
          <w:numId w:val="1004"/>
        </w:numPr>
      </w:pPr>
      <w:r>
        <w:t xml:space="preserve">Catastrophe losses and any change to the full-year</w:t>
      </w:r>
      <w:r>
        <w:t xml:space="preserve"> </w:t>
      </w:r>
      <w:r>
        <w:rPr>
          <w:b/>
          <w:bCs/>
        </w:rPr>
        <w:t xml:space="preserve">$185 million catastrophe assumption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The low-to-mid-80s combined-ratio expectation.</w:t>
      </w:r>
    </w:p>
    <w:p>
      <w:pPr>
        <w:pStyle w:val="FirstParagraph"/>
      </w:pPr>
      <w:r>
        <w:t xml:space="preserve">Q1 Housing revenue rose 11%, supported by higher lender-placed policies, higher average premiums and specialty-product growth. But underlying EBITDA excluding reserve development was approximately flat as loss experience normalized. (</w:t>
      </w:r>
      <w:hyperlink r:id="rId16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A good Q2 would therefore be one in which</w:t>
      </w:r>
      <w:r>
        <w:t xml:space="preserve"> </w:t>
      </w:r>
      <w:r>
        <w:rPr>
          <w:b/>
          <w:bCs/>
        </w:rPr>
        <w:t xml:space="preserve">underlying Housing earnings grow despite less reserve help</w:t>
      </w:r>
      <w:r>
        <w:t xml:space="preserve">, rather than one that merely posts a favorable headline EBITDA number.</w:t>
      </w:r>
    </w:p>
    <w:bookmarkEnd w:id="17"/>
    <w:bookmarkStart w:id="18" w:name="X9e78280b80212f59b7c77b3ec5fbe09882252d6"/>
    <w:p>
      <w:pPr>
        <w:pStyle w:val="Heading2"/>
      </w:pPr>
      <w:r>
        <w:t xml:space="preserve">3. Guidance is likely to determine the stock reaction</w:t>
      </w:r>
    </w:p>
    <w:p>
      <w:pPr>
        <w:pStyle w:val="FirstParagraph"/>
      </w:pPr>
      <w:r>
        <w:t xml:space="preserve">Following the Q1 raise, the central question is whether management: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Reiterates</w:t>
      </w:r>
      <w:r>
        <w:t xml:space="preserve"> </w:t>
      </w:r>
      <w:r>
        <w:t xml:space="preserve">its low-single-digit reported and high-single-digit underlying growth outlook;</w:t>
      </w:r>
    </w:p>
    <w:p>
      <w:pPr>
        <w:pStyle w:val="Compact"/>
        <w:numPr>
          <w:ilvl w:val="0"/>
          <w:numId w:val="1005"/>
        </w:numPr>
      </w:pPr>
      <w:r>
        <w:t xml:space="preserve">Moves expectations toward the</w:t>
      </w:r>
      <w:r>
        <w:t xml:space="preserve"> </w:t>
      </w:r>
      <w:r>
        <w:rPr>
          <w:b/>
          <w:bCs/>
        </w:rPr>
        <w:t xml:space="preserve">upper end</w:t>
      </w:r>
      <w:r>
        <w:t xml:space="preserve"> </w:t>
      </w:r>
      <w:r>
        <w:t xml:space="preserve">of those descriptions; or</w:t>
      </w:r>
    </w:p>
    <w:p>
      <w:pPr>
        <w:pStyle w:val="Compact"/>
        <w:numPr>
          <w:ilvl w:val="0"/>
          <w:numId w:val="1005"/>
        </w:numPr>
      </w:pPr>
      <w:r>
        <w:t xml:space="preserve">Raises guidance again.</w:t>
      </w:r>
    </w:p>
    <w:p>
      <w:pPr>
        <w:pStyle w:val="FirstParagraph"/>
      </w:pPr>
      <w:r>
        <w:t xml:space="preserve">For context, if “low single digits” is interpreted illustratively as 2%–4%, current guidance points to approximately:</w:t>
      </w:r>
    </w:p>
    <w:p>
      <w:pPr>
        <w:pStyle w:val="Compact"/>
        <w:numPr>
          <w:ilvl w:val="0"/>
          <w:numId w:val="1006"/>
        </w:numPr>
      </w:pPr>
      <m:oMath>
        <m:r>
          <m:t>1.77</m:t>
        </m:r>
        <m:r>
          <m:rPr>
            <m:sty m:val="p"/>
          </m:rPr>
          <m:t>–</m:t>
        </m:r>
      </m:oMath>
      <w:r>
        <w:rPr>
          <w:b/>
          <w:bCs/>
        </w:rPr>
        <w:t xml:space="preserve">1.80 billion</w:t>
      </w:r>
      <w:r>
        <w:t xml:space="preserve"> </w:t>
      </w:r>
      <w:r>
        <w:t xml:space="preserve">of adjusted EBITDA excluding catastrophes.</w:t>
      </w:r>
    </w:p>
    <w:p>
      <w:pPr>
        <w:pStyle w:val="Compact"/>
        <w:numPr>
          <w:ilvl w:val="0"/>
          <w:numId w:val="1006"/>
        </w:numPr>
      </w:pPr>
      <m:oMath>
        <m:r>
          <m:t>23.27</m:t>
        </m:r>
        <m:r>
          <m:rPr>
            <m:sty m:val="p"/>
          </m:rPr>
          <m:t>–</m:t>
        </m:r>
      </m:oMath>
      <w:r>
        <w:rPr>
          <w:b/>
          <w:bCs/>
        </w:rPr>
        <w:t xml:space="preserve">23.72</w:t>
      </w:r>
      <w:r>
        <w:t xml:space="preserve"> </w:t>
      </w:r>
      <w:r>
        <w:t xml:space="preserve">of adjusted EPS excluding catastrophes.</w:t>
      </w:r>
    </w:p>
    <w:p>
      <w:pPr>
        <w:pStyle w:val="FirstParagraph"/>
      </w:pPr>
      <w:r>
        <w:t xml:space="preserve">At the August 3 closing price of $282.43, that equates to roughly</w:t>
      </w:r>
      <w:r>
        <w:t xml:space="preserve"> </w:t>
      </w:r>
      <w:r>
        <w:rPr>
          <w:b/>
          <w:bCs/>
        </w:rPr>
        <w:t xml:space="preserve">12 times</w:t>
      </w:r>
      <w:r>
        <w:t xml:space="preserve"> </w:t>
      </w:r>
      <w:r>
        <w:t xml:space="preserve">the illustrative adjusted EPS range.</w:t>
      </w:r>
    </w:p>
    <w:p>
      <w:pPr>
        <w:pStyle w:val="BodyText"/>
      </w:pPr>
      <w:r>
        <w:t xml:space="preserve">The valuation is not especially demanding, but the recent rally means investors will probably want evidence that the Q1 strength was not simply front-loaded.</w:t>
      </w:r>
    </w:p>
    <w:bookmarkEnd w:id="18"/>
    <w:bookmarkStart w:id="19" w:name="X6ef02d81077b087223caa6c87b053b72d65f2af"/>
    <w:p>
      <w:pPr>
        <w:pStyle w:val="Heading2"/>
      </w:pPr>
      <w:r>
        <w:t xml:space="preserve">4. Capital returns and cash generation</w:t>
      </w:r>
    </w:p>
    <w:p>
      <w:pPr>
        <w:pStyle w:val="FirstParagraph"/>
      </w:pPr>
      <w:r>
        <w:t xml:space="preserve">Assurant ended Q1 with $836 million of holding-company liquidity, $611 million above its internal minimum. It repurchased $125 million of shares during Q1 and another $30 million through May 1, putting it nearly halfway to the</w:t>
      </w:r>
      <w:r>
        <w:t xml:space="preserve"> </w:t>
      </w:r>
      <m:oMath>
        <m:r>
          <m:t>300</m:t>
        </m:r>
        <m:r>
          <m:rPr>
            <m:sty m:val="p"/>
          </m:rPr>
          <m:t>–</m:t>
        </m:r>
      </m:oMath>
      <w:r>
        <w:t xml:space="preserve">350 million full-year objective early in the year.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Watch for:</w:t>
      </w:r>
    </w:p>
    <w:p>
      <w:pPr>
        <w:pStyle w:val="Compact"/>
        <w:numPr>
          <w:ilvl w:val="0"/>
          <w:numId w:val="1007"/>
        </w:numPr>
      </w:pPr>
      <w:r>
        <w:t xml:space="preserve">Q2 repurchase volume and average purchase price.</w:t>
      </w:r>
    </w:p>
    <w:p>
      <w:pPr>
        <w:pStyle w:val="Compact"/>
        <w:numPr>
          <w:ilvl w:val="0"/>
          <w:numId w:val="1007"/>
        </w:numPr>
      </w:pPr>
      <w:r>
        <w:t xml:space="preserve">Whether management remains committed to the upper half of the annual range after the stock’s appreciation.</w:t>
      </w:r>
    </w:p>
    <w:p>
      <w:pPr>
        <w:pStyle w:val="Compact"/>
        <w:numPr>
          <w:ilvl w:val="0"/>
          <w:numId w:val="1007"/>
        </w:numPr>
      </w:pPr>
      <w:r>
        <w:t xml:space="preserve">Operating-subsidiary dividends to the holding company.</w:t>
      </w:r>
    </w:p>
    <w:p>
      <w:pPr>
        <w:pStyle w:val="Compact"/>
        <w:numPr>
          <w:ilvl w:val="0"/>
          <w:numId w:val="1007"/>
        </w:numPr>
      </w:pPr>
      <w:r>
        <w:t xml:space="preserve">M&amp;A commentary, particularly whether potential transactions could slow repurchases.</w:t>
      </w:r>
    </w:p>
    <w:p>
      <w:pPr>
        <w:pStyle w:val="Compact"/>
        <w:numPr>
          <w:ilvl w:val="0"/>
          <w:numId w:val="1007"/>
        </w:numPr>
      </w:pPr>
      <w:r>
        <w:t xml:space="preserve">Home Warranty investment levels.</w:t>
      </w:r>
    </w:p>
    <w:p>
      <w:pPr>
        <w:pStyle w:val="FirstParagraph"/>
      </w:pPr>
      <w:r>
        <w:t xml:space="preserve">Continued aggressive repurchases would signal confidence in both cash generation and valuation. A sharp slowdown without an identified acquisition could be interpreted less favorably.</w:t>
      </w:r>
    </w:p>
    <w:bookmarkEnd w:id="19"/>
    <w:bookmarkStart w:id="20" w:name="risks-going-into-the-print"/>
    <w:p>
      <w:pPr>
        <w:pStyle w:val="Heading2"/>
      </w:pPr>
      <w:r>
        <w:t xml:space="preserve">Risks going into the print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Trade-in volatility:</w:t>
      </w:r>
      <w:r>
        <w:t xml:space="preserve"> </w:t>
      </w:r>
      <w:r>
        <w:t xml:space="preserve">Volumes and margins can change with device launches, carrier promotions and used-device prices.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Automotive claims:</w:t>
      </w:r>
      <w:r>
        <w:t xml:space="preserve"> </w:t>
      </w:r>
      <w:r>
        <w:t xml:space="preserve">Recent improvement must persist as older vehicle-service-contract vintages mature.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Housing loss severity:</w:t>
      </w:r>
      <w:r>
        <w:t xml:space="preserve"> </w:t>
      </w:r>
      <w:r>
        <w:t xml:space="preserve">Inflation and higher repair costs could pressure non-catastrophe losses.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Reserve-development comparisons:</w:t>
      </w:r>
      <w:r>
        <w:t xml:space="preserve"> </w:t>
      </w:r>
      <w:r>
        <w:t xml:space="preserve">Less favorable development can obscure otherwise healthy underlying results.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Catastrophes:</w:t>
      </w:r>
      <w:r>
        <w:t xml:space="preserve"> </w:t>
      </w:r>
      <w:r>
        <w:t xml:space="preserve">Reported GAAP and adjusted results remain sensitive to weather losses.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Execution spending:</w:t>
      </w:r>
      <w:r>
        <w:t xml:space="preserve"> </w:t>
      </w:r>
      <w:r>
        <w:t xml:space="preserve">Home Warranty and technology investments are expected to push the Corporate and Other loss toward approximately $140 million for the year.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Client concentration:</w:t>
      </w:r>
      <w:r>
        <w:t xml:space="preserve"> </w:t>
      </w:r>
      <w:r>
        <w:t xml:space="preserve">Major mobile, retail and lender-placed relationships are central to Assurant’s economics.</w:t>
      </w:r>
    </w:p>
    <w:bookmarkEnd w:id="20"/>
    <w:bookmarkStart w:id="21" w:name="what-would-constitute-a-strong-report"/>
    <w:p>
      <w:pPr>
        <w:pStyle w:val="Heading2"/>
      </w:pPr>
      <w:r>
        <w:t xml:space="preserve">What would constitute a strong report?</w:t>
      </w:r>
    </w:p>
    <w:p>
      <w:pPr>
        <w:pStyle w:val="FirstParagraph"/>
      </w:pPr>
      <w:r>
        <w:t xml:space="preserve">A clearly positive report would likely include:</w:t>
      </w:r>
    </w:p>
    <w:p>
      <w:pPr>
        <w:pStyle w:val="Compact"/>
        <w:numPr>
          <w:ilvl w:val="0"/>
          <w:numId w:val="1009"/>
        </w:numPr>
      </w:pPr>
      <w:r>
        <w:t xml:space="preserve">High-single-digit or better</w:t>
      </w:r>
      <w:r>
        <w:t xml:space="preserve"> </w:t>
      </w:r>
      <w:r>
        <w:rPr>
          <w:b/>
          <w:bCs/>
        </w:rPr>
        <w:t xml:space="preserve">organic</w:t>
      </w:r>
      <w:r>
        <w:t xml:space="preserve"> </w:t>
      </w:r>
      <w:r>
        <w:t xml:space="preserve">Global Lifestyle EBITDA growth.</w:t>
      </w:r>
    </w:p>
    <w:p>
      <w:pPr>
        <w:pStyle w:val="Compact"/>
        <w:numPr>
          <w:ilvl w:val="0"/>
          <w:numId w:val="1009"/>
        </w:numPr>
      </w:pPr>
      <w:r>
        <w:t xml:space="preserve">Continued mobile subscriber and reverse-logistics momentum.</w:t>
      </w:r>
    </w:p>
    <w:p>
      <w:pPr>
        <w:pStyle w:val="Compact"/>
        <w:numPr>
          <w:ilvl w:val="0"/>
          <w:numId w:val="1009"/>
        </w:numPr>
      </w:pPr>
      <w:r>
        <w:t xml:space="preserve">Further improvement in Global Automotive losses.</w:t>
      </w:r>
    </w:p>
    <w:p>
      <w:pPr>
        <w:pStyle w:val="Compact"/>
        <w:numPr>
          <w:ilvl w:val="0"/>
          <w:numId w:val="1009"/>
        </w:numPr>
      </w:pPr>
      <w:r>
        <w:t xml:space="preserve">Underlying Housing growth after excluding reserve development.</w:t>
      </w:r>
    </w:p>
    <w:p>
      <w:pPr>
        <w:pStyle w:val="Compact"/>
        <w:numPr>
          <w:ilvl w:val="0"/>
          <w:numId w:val="1009"/>
        </w:numPr>
      </w:pPr>
      <w:r>
        <w:t xml:space="preserve">Controlled non-catastrophe loss severity.</w:t>
      </w:r>
    </w:p>
    <w:p>
      <w:pPr>
        <w:pStyle w:val="Compact"/>
        <w:numPr>
          <w:ilvl w:val="0"/>
          <w:numId w:val="1009"/>
        </w:numPr>
      </w:pPr>
      <w:r>
        <w:t xml:space="preserve">Reaffirmed or raised enterprise guidance.</w:t>
      </w:r>
    </w:p>
    <w:p>
      <w:pPr>
        <w:pStyle w:val="Compact"/>
        <w:numPr>
          <w:ilvl w:val="0"/>
          <w:numId w:val="1009"/>
        </w:numPr>
      </w:pPr>
      <w:r>
        <w:t xml:space="preserve">Repurchases tracking toward at least the upper half of the</w:t>
      </w:r>
      <w:r>
        <w:t xml:space="preserve"> </w:t>
      </w:r>
      <m:oMath>
        <m:r>
          <m:t>300</m:t>
        </m:r>
        <m:r>
          <m:rPr>
            <m:sty m:val="p"/>
          </m:rPr>
          <m:t>–</m:t>
        </m:r>
      </m:oMath>
      <w:r>
        <w:t xml:space="preserve">350 million range.</w:t>
      </w:r>
    </w:p>
    <w:bookmarkEnd w:id="21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core thesis remains attractive: Global Lifestyle is accelerating, Housing offers durable cash flow, and Assurant has ample excess capital. But the hurdle has risen following the Q1 record and the subsequent share-price rally.</w:t>
      </w:r>
    </w:p>
    <w:p>
      <w:pPr>
        <w:pStyle w:val="BodyText"/>
      </w:pPr>
      <w:r>
        <w:t xml:space="preserve">The most important question is not whether reported EPS beats a particular quarterly number. It is whether</w:t>
      </w:r>
      <w:r>
        <w:t xml:space="preserve"> </w:t>
      </w:r>
      <w:r>
        <w:rPr>
          <w:b/>
          <w:bCs/>
        </w:rPr>
        <w:t xml:space="preserve">Lifestyle’s growth remains durable after removing Q1’s one-time gain, and whether Housing can generate underlying growth without relying on favorable reserve development</w:t>
      </w:r>
      <w:r>
        <w:t xml:space="preserve">. If both conditions are met and management signals upside to the full-year outlook, the recent rerating can continue. If Lifestyle normalizes sharply or Housing loss trends deteriorate, a simple guidance reiteration may not be enough.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r.assurant.com/overview/default.aspx?ItemId=07fcabfc-7baa-41c2-a66d-5b96980b6cd8&amp;utm_source=openai" TargetMode="External" /><Relationship Type="http://schemas.openxmlformats.org/officeDocument/2006/relationships/hyperlink" Id="rId10" Target="https://www.assurant.com/news-insights/news_releases/assurant-first-quarter-2026-financial-results?utm_source=openai" TargetMode="External" /><Relationship Type="http://schemas.openxmlformats.org/officeDocument/2006/relationships/hyperlink" Id="rId12" Target="https://www.sec.gov/Archives/edgar/data/1267238/000126723825000042/aiz-20250630exx991pressrel.htm?utm_source=openai" TargetMode="External" /><Relationship Type="http://schemas.openxmlformats.org/officeDocument/2006/relationships/hyperlink" Id="rId14" Target="https://www.sec.gov/Archives/edgar/data/1267238/000126723826000027/aiz-20260331.htm" TargetMode="External" /><Relationship Type="http://schemas.openxmlformats.org/officeDocument/2006/relationships/hyperlink" Id="rId16" Target="https://www.sec.gov/Archives/edgar/data/1267238/000126723826000027/aiz-20260331.htm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r.assurant.com/overview/default.aspx?ItemId=07fcabfc-7baa-41c2-a66d-5b96980b6cd8&amp;utm_source=openai" TargetMode="External" /><Relationship Type="http://schemas.openxmlformats.org/officeDocument/2006/relationships/hyperlink" Id="rId10" Target="https://www.assurant.com/news-insights/news_releases/assurant-first-quarter-2026-financial-results?utm_source=openai" TargetMode="External" /><Relationship Type="http://schemas.openxmlformats.org/officeDocument/2006/relationships/hyperlink" Id="rId12" Target="https://www.sec.gov/Archives/edgar/data/1267238/000126723825000042/aiz-20250630exx991pressrel.htm?utm_source=openai" TargetMode="External" /><Relationship Type="http://schemas.openxmlformats.org/officeDocument/2006/relationships/hyperlink" Id="rId14" Target="https://www.sec.gov/Archives/edgar/data/1267238/000126723826000027/aiz-20260331.htm" TargetMode="External" /><Relationship Type="http://schemas.openxmlformats.org/officeDocument/2006/relationships/hyperlink" Id="rId16" Target="https://www.sec.gov/Archives/edgar/data/1267238/000126723826000027/aiz-20260331.htm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2026-08-04T01:54:16Z</dcterms:created>
  <dcterms:modified xsi:type="dcterms:W3CDTF">2026-08-04T01:54:16Z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