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assurant-nyse-aiz--2q26-earnings-preview"/>
    <w:p>
      <w:pPr>
        <w:pStyle w:val="Heading1"/>
      </w:pPr>
      <w:r>
        <w:t xml:space="preserve">Assurant (NYSE: AIZ)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Assurant reports</w:t>
      </w:r>
      <w:r>
        <w:t xml:space="preserve"> </w:t>
      </w:r>
      <w:r>
        <w:rPr>
          <w:b/>
          <w:bCs/>
        </w:rPr>
        <w:t xml:space="preserve">today, Tuesday, August 4, 2026, after the U.S. market close</w:t>
      </w:r>
      <w:r>
        <w:t xml:space="preserve">—not tomorrow. Management’s earnings call is</w:t>
      </w:r>
      <w:r>
        <w:t xml:space="preserve"> </w:t>
      </w:r>
      <w:r>
        <w:rPr>
          <w:b/>
          <w:bCs/>
        </w:rPr>
        <w:t xml:space="preserve">Wednesday, August 5 at 8:00 a.m. ET</w:t>
      </w:r>
      <w:r>
        <w:t xml:space="preserve">.</w:t>
      </w:r>
    </w:p>
    <w:bookmarkStart w:id="9" w:name="investment-view-the-bar-has-moved-higher"/>
    <w:p>
      <w:pPr>
        <w:pStyle w:val="Heading2"/>
      </w:pPr>
      <w:r>
        <w:t xml:space="preserve">Investment view: the bar has moved higher</w:t>
      </w:r>
    </w:p>
    <w:p>
      <w:pPr>
        <w:pStyle w:val="FirstParagraph"/>
      </w:pPr>
      <w:r>
        <w:t xml:space="preserve">AIZ enters the second-quarter report with strong operating momentum and a stock that has already reflected much of that improvement. Shares closed at</w:t>
      </w:r>
      <w:r>
        <w:t xml:space="preserve"> </w:t>
      </w:r>
      <w:r>
        <w:rPr>
          <w:b/>
          <w:bCs/>
        </w:rPr>
        <w:t xml:space="preserve">$282.43 on August 3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23% since immediately before the first-quarter release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17% year to date</w:t>
      </w:r>
      <w:r>
        <w:t xml:space="preserve">. The core issue for investors is therefore less whether the company posts respectable year-over-year growth, and more whether it can demonstrate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Global Lifestyle’s Q1 strength is sustainable</w:t>
      </w:r>
      <w:r>
        <w:t xml:space="preserve">, rather than a peak quarter aided by trade-in seasonality and a one-time gain;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Global Housing remains on track</w:t>
      </w:r>
      <w:r>
        <w:t xml:space="preserve"> </w:t>
      </w:r>
      <w:r>
        <w:t xml:space="preserve">despite less favorable reserve-development comparisons and the approaching peak catastrophe season; and</w:t>
      </w:r>
    </w:p>
    <w:p>
      <w:pPr>
        <w:pStyle w:val="Compact"/>
        <w:numPr>
          <w:ilvl w:val="0"/>
          <w:numId w:val="1001"/>
        </w:numPr>
      </w:pPr>
      <w:r>
        <w:t xml:space="preserve">Management’s</w:t>
      </w:r>
      <w:r>
        <w:t xml:space="preserve"> </w:t>
      </w:r>
      <w:r>
        <w:rPr>
          <w:b/>
          <w:bCs/>
        </w:rPr>
        <w:t xml:space="preserve">increased full-year outlook</w:t>
      </w:r>
      <w:r>
        <w:t xml:space="preserve"> </w:t>
      </w:r>
      <w:r>
        <w:t xml:space="preserve">remains intact—or has room to rise again.</w:t>
      </w:r>
    </w:p>
    <w:p>
      <w:pPr>
        <w:pStyle w:val="FirstParagraph"/>
      </w:pPr>
      <w:r>
        <w:t xml:space="preserve">The setup looks constructive, but a “good” quarter may not be enough. The market is likely looking for clean execution and evidence that the growth drivers behind the raised guidance are progressing as planned.</w:t>
      </w:r>
    </w:p>
    <w:p>
      <w:r>
        <w:pict>
          <v:rect style="width:0;height:1.5pt" o:hralign="center" o:hrstd="t" o:hr="t"/>
        </w:pict>
      </w:r>
    </w:p>
    <w:bookmarkEnd w:id="9"/>
    <w:bookmarkStart w:id="10" w:name="X0562bccf7323f7d545345a246e689fe1b7ccd5f"/>
    <w:p>
      <w:pPr>
        <w:pStyle w:val="Heading2"/>
      </w:pPr>
      <w:r>
        <w:t xml:space="preserve">What changed in Q1—and why it matters for Q2</w:t>
      </w:r>
    </w:p>
    <w:p>
      <w:pPr>
        <w:pStyle w:val="FirstParagraph"/>
      </w:pPr>
      <w:r>
        <w:t xml:space="preserve">Assurant’s Q1 was unusually strong: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$5.41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EPS, ex-cats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$6.33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EBITDA, ex-cats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$465.9M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Lifestyle adjusted EBITDA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$236.7M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Housing adjusted EBITDA, ex-cats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$261.1M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earned premiums, fees and other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$3.28B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+11%</w:t>
            </w:r>
          </w:p>
        </w:tc>
      </w:tr>
    </w:tbl>
    <w:p>
      <w:pPr>
        <w:pStyle w:val="BodyText"/>
      </w:pPr>
      <w:r>
        <w:t xml:space="preserve">The headline growth was helped by lower catastrophe losses versus a difficult Q1 2025, but the underlying result was still solid: adjusted EBITDA and adjusted EPS excluding catastrophes grew</w:t>
      </w:r>
      <w:r>
        <w:t xml:space="preserve"> </w:t>
      </w:r>
      <w:r>
        <w:rPr>
          <w:b/>
          <w:bCs/>
        </w:rPr>
        <w:t xml:space="preserve">6%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9%</w:t>
      </w:r>
      <w:r>
        <w:t xml:space="preserve">, respectively.</w:t>
      </w:r>
    </w:p>
    <w:p>
      <w:pPr>
        <w:pStyle w:val="BodyText"/>
      </w:pPr>
      <w:r>
        <w:t xml:space="preserve">Importantly, Q1 Global Lifestyle EBITDA included a</w:t>
      </w:r>
      <w:r>
        <w:t xml:space="preserve"> </w:t>
      </w:r>
      <w:r>
        <w:rPr>
          <w:b/>
          <w:bCs/>
        </w:rPr>
        <w:t xml:space="preserve">$13.2 million real-estate joint-venture gain</w:t>
      </w:r>
      <w:r>
        <w:t xml:space="preserve">, mostly in Global Automotive. That means Q2 investors will want to see continued organic momentum in Connected Living, trade-in/reverse logistics, and Automotive margins—not simply another quarter that compares well with the prior year.</w:t>
      </w:r>
    </w:p>
    <w:p>
      <w:r>
        <w:pict>
          <v:rect style="width:0;height:1.5pt" o:hralign="center" o:hrstd="t" o:hr="t"/>
        </w:pict>
      </w:r>
    </w:p>
    <w:bookmarkEnd w:id="10"/>
    <w:bookmarkStart w:id="12" w:name="X7b22f3e0d96e3a68d103c015e58d68109837637"/>
    <w:p>
      <w:pPr>
        <w:pStyle w:val="Heading2"/>
      </w:pPr>
      <w:r>
        <w:t xml:space="preserve">The key earnings debate: can Global Lifestyle keep outperforming?</w:t>
      </w:r>
    </w:p>
    <w:p>
      <w:pPr>
        <w:pStyle w:val="FirstParagraph"/>
      </w:pPr>
      <w:r>
        <w:t xml:space="preserve">Global Lifestyle is the central swing factor for the report and the most important contributor to the 2026 growth story.</w:t>
      </w:r>
    </w:p>
    <w:p>
      <w:pPr>
        <w:pStyle w:val="BodyText"/>
      </w:pPr>
      <w:r>
        <w:t xml:space="preserve">Management raised its 2026 Global Lifestyle adjusted-EBITDA outlook to approximately</w:t>
      </w:r>
      <w:r>
        <w:t xml:space="preserve"> </w:t>
      </w:r>
      <w:r>
        <w:rPr>
          <w:b/>
          <w:bCs/>
        </w:rPr>
        <w:t xml:space="preserve">10% growth</w:t>
      </w:r>
      <w:r>
        <w:t xml:space="preserve">, citing contributions from both Connected Living and Global Automotive. Q1 results supported that confidence: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Connected Living EBITDA rose 18%</w:t>
      </w:r>
      <w:r>
        <w:t xml:space="preserve">, driven by mobile-protection subscriber growth, program optimization, and higher trade-in/reverse-logistics activity.</w:t>
      </w:r>
    </w:p>
    <w:p>
      <w:pPr>
        <w:pStyle w:val="Compact"/>
        <w:numPr>
          <w:ilvl w:val="0"/>
          <w:numId w:val="1002"/>
        </w:numPr>
      </w:pPr>
      <w:r>
        <w:t xml:space="preserve">Assurant added more than</w:t>
      </w:r>
      <w:r>
        <w:t xml:space="preserve"> </w:t>
      </w:r>
      <w:r>
        <w:rPr>
          <w:b/>
          <w:bCs/>
        </w:rPr>
        <w:t xml:space="preserve">4 million mobile subscribers year over year</w:t>
      </w:r>
      <w:r>
        <w:t xml:space="preserve">, reaching nearly</w:t>
      </w:r>
      <w:r>
        <w:t xml:space="preserve"> </w:t>
      </w:r>
      <w:r>
        <w:rPr>
          <w:b/>
          <w:bCs/>
        </w:rPr>
        <w:t xml:space="preserve">69 million protected devices globally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It processed nearly</w:t>
      </w:r>
      <w:r>
        <w:t xml:space="preserve"> </w:t>
      </w:r>
      <w:r>
        <w:rPr>
          <w:b/>
          <w:bCs/>
        </w:rPr>
        <w:t xml:space="preserve">7.5 million devices</w:t>
      </w:r>
      <w:r>
        <w:t xml:space="preserve"> </w:t>
      </w:r>
      <w:r>
        <w:t xml:space="preserve">in Q1, up about</w:t>
      </w:r>
      <w:r>
        <w:t xml:space="preserve"> </w:t>
      </w:r>
      <w:r>
        <w:rPr>
          <w:b/>
          <w:bCs/>
        </w:rPr>
        <w:t xml:space="preserve">2 million</w:t>
      </w:r>
      <w:r>
        <w:t xml:space="preserve"> </w:t>
      </w:r>
      <w:r>
        <w:t xml:space="preserve">year over year.</w:t>
      </w:r>
    </w:p>
    <w:p>
      <w:pPr>
        <w:pStyle w:val="Compact"/>
        <w:numPr>
          <w:ilvl w:val="0"/>
          <w:numId w:val="1002"/>
        </w:numPr>
      </w:pPr>
      <w:r>
        <w:t xml:space="preserve">Global Automotive EBITDA rose</w:t>
      </w:r>
      <w:r>
        <w:t xml:space="preserve"> </w:t>
      </w:r>
      <w:r>
        <w:rPr>
          <w:b/>
          <w:bCs/>
        </w:rPr>
        <w:t xml:space="preserve">23%</w:t>
      </w:r>
      <w:r>
        <w:t xml:space="preserve">, though roughly $10 million of that reflected the joint-venture gain; excluding that gain, growth was about</w:t>
      </w:r>
      <w:r>
        <w:t xml:space="preserve"> </w:t>
      </w:r>
      <w:r>
        <w:rPr>
          <w:b/>
          <w:bCs/>
        </w:rPr>
        <w:t xml:space="preserve">9%</w:t>
      </w:r>
      <w:r>
        <w:t xml:space="preserve">.</w:t>
      </w:r>
    </w:p>
    <w:bookmarkStart w:id="11" w:name="what-investors-should-watch-in-q2"/>
    <w:p>
      <w:pPr>
        <w:pStyle w:val="Heading3"/>
      </w:pPr>
      <w:r>
        <w:t xml:space="preserve">What investors should watch in Q2</w:t>
      </w:r>
    </w:p>
    <w:p>
      <w:pPr>
        <w:pStyle w:val="FirstParagraph"/>
      </w:pPr>
      <w:r>
        <w:rPr>
          <w:b/>
          <w:bCs/>
        </w:rPr>
        <w:t xml:space="preserve">1. Trade-in and reverse-logistics volumes.</w:t>
      </w:r>
      <w:r>
        <w:br/>
      </w:r>
      <w:r>
        <w:t xml:space="preserve">Q1 benefited from seasonal strength and contributions across several programs. Fee income grew 27% in Global Lifestyle, primarily from domestic mobile trade-in volumes. Q2 needs to show that activity remains healthy as the seasonal benefit moderates.</w:t>
      </w:r>
    </w:p>
    <w:p>
      <w:pPr>
        <w:pStyle w:val="BodyText"/>
      </w:pPr>
      <w:r>
        <w:rPr>
          <w:b/>
          <w:bCs/>
        </w:rPr>
        <w:t xml:space="preserve">2. Mobile-program implementation and subscriber growth.</w:t>
      </w:r>
      <w:r>
        <w:br/>
      </w:r>
      <w:r>
        <w:t xml:space="preserve">The U.S. Cellular migration through T-Mobile, deeper reverse-logistics work with a large U.S. carrier, new Xfinity Mobile offerings, and Verizon prepaid-brand expansion provide a real pipeline of incremental earnings. Management said the U.S. Cellular migration should be immediately accretive and that the other recent mobile launches should be EBITDA-accretive in aggregate during 2026.</w:t>
      </w:r>
    </w:p>
    <w:p>
      <w:pPr>
        <w:pStyle w:val="BodyText"/>
      </w:pPr>
      <w:r>
        <w:rPr>
          <w:b/>
          <w:bCs/>
        </w:rPr>
        <w:t xml:space="preserve">3. Automotive loss experience.</w:t>
      </w:r>
      <w:r>
        <w:br/>
      </w:r>
      <w:r>
        <w:t xml:space="preserve">Automotive had been a recovery story following pricing, product, and claims-process changes. A second consecutive quarter of favorable loss experience would validate management’s view that this business has passed its inflection point.</w:t>
      </w:r>
    </w:p>
    <w:p>
      <w:pPr>
        <w:pStyle w:val="BodyText"/>
      </w:pPr>
      <w:r>
        <w:rPr>
          <w:b/>
          <w:bCs/>
        </w:rPr>
        <w:t xml:space="preserve">4. The absence of one-time gains.</w:t>
      </w:r>
      <w:r>
        <w:br/>
      </w:r>
      <w:r>
        <w:t xml:space="preserve">A clean Q2 Lifestyle result that supports the ~10% annual growth objective would likely matter more to investors than another headline beat aided by investment gains or non-operating items.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4" w:name="X4237f7623a654410faf6bc6f87d2061421dcc28"/>
    <w:p>
      <w:pPr>
        <w:pStyle w:val="Heading2"/>
      </w:pPr>
      <w:r>
        <w:t xml:space="preserve">Global Housing: solid growth, but comparisons get harder</w:t>
      </w:r>
    </w:p>
    <w:p>
      <w:pPr>
        <w:pStyle w:val="FirstParagraph"/>
      </w:pPr>
      <w:r>
        <w:t xml:space="preserve">Global Housing remains a major earnings and cash-flow contributor, but it is the segment with the greatest near-term variability.</w:t>
      </w:r>
    </w:p>
    <w:p>
      <w:pPr>
        <w:pStyle w:val="BodyText"/>
      </w:pPr>
      <w:r>
        <w:t xml:space="preserve">In Q1:</w:t>
      </w:r>
    </w:p>
    <w:p>
      <w:pPr>
        <w:pStyle w:val="Compact"/>
        <w:numPr>
          <w:ilvl w:val="0"/>
          <w:numId w:val="1003"/>
        </w:numPr>
      </w:pPr>
      <w:r>
        <w:t xml:space="preserve">Revenue-related measures rose</w:t>
      </w:r>
      <w:r>
        <w:t xml:space="preserve"> </w:t>
      </w:r>
      <w:r>
        <w:rPr>
          <w:b/>
          <w:bCs/>
        </w:rPr>
        <w:t xml:space="preserve">11%</w:t>
      </w:r>
      <w:r>
        <w:t xml:space="preserve">, driven by higher lender-placed policies in force, higher average premiums, specialty products, and renters growth.</w:t>
      </w:r>
    </w:p>
    <w:p>
      <w:pPr>
        <w:pStyle w:val="Compact"/>
        <w:numPr>
          <w:ilvl w:val="0"/>
          <w:numId w:val="1003"/>
        </w:numPr>
      </w:pPr>
      <w:r>
        <w:t xml:space="preserve">Excluding catastrophes, EBITDA declined</w:t>
      </w:r>
      <w:r>
        <w:t xml:space="preserve"> </w:t>
      </w:r>
      <w:r>
        <w:rPr>
          <w:b/>
          <w:bCs/>
        </w:rPr>
        <w:t xml:space="preserve">3%</w:t>
      </w:r>
      <w:r>
        <w:t xml:space="preserve">, largely because favorable prior-year reserve development was lower than in Q1 2025.</w:t>
      </w:r>
    </w:p>
    <w:p>
      <w:pPr>
        <w:pStyle w:val="Compact"/>
        <w:numPr>
          <w:ilvl w:val="0"/>
          <w:numId w:val="1003"/>
        </w:numPr>
      </w:pPr>
      <w:r>
        <w:t xml:space="preserve">Excluding prior-year development, underlying segment results were approximately flat year over year, as premium growth offset more normalized non-catastrophe loss experience.</w:t>
      </w:r>
    </w:p>
    <w:p>
      <w:pPr>
        <w:pStyle w:val="FirstParagraph"/>
      </w:pPr>
      <w:r>
        <w:t xml:space="preserve">Management’s full-year framework calls for Global Housing EBITDA excluding catastrophes to</w:t>
      </w:r>
      <w:r>
        <w:t xml:space="preserve"> </w:t>
      </w:r>
      <w:r>
        <w:rPr>
          <w:b/>
          <w:bCs/>
        </w:rPr>
        <w:t xml:space="preserve">decline only modestly</w:t>
      </w:r>
      <w:r>
        <w:t xml:space="preserve">, while underlying earnings—excluding prior-year reserve development—should grow solidly.</w:t>
      </w:r>
    </w:p>
    <w:bookmarkStart w:id="13" w:name="the-key-q2-housing-questions"/>
    <w:p>
      <w:pPr>
        <w:pStyle w:val="Heading3"/>
      </w:pPr>
      <w:r>
        <w:t xml:space="preserve">The key Q2 Housing questions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 lender-placed policy growth continuing?</w:t>
      </w:r>
      <w:r>
        <w:t xml:space="preserve"> </w:t>
      </w:r>
      <w:r>
        <w:t xml:space="preserve">Management expects higher tracked loans and new business to support in-force policy growth, but it has also acknowledged that placement rates can fluctuate with client loan movements and changes in the voluntary homeowners-insurance market.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Are loss ratios behaving normally?</w:t>
      </w:r>
      <w:r>
        <w:t xml:space="preserve"> </w:t>
      </w:r>
      <w:r>
        <w:t xml:space="preserve">Q1’s normalized non-cat loss ratio was roughly 38%, excluding prior-year development. Deterioration from claim severity, reserve pressure, or weather would be a concern.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 reserve development becoming a larger headwind?</w:t>
      </w:r>
      <w:r>
        <w:t xml:space="preserve"> </w:t>
      </w:r>
      <w:r>
        <w:t xml:space="preserve">The company expects a</w:t>
      </w:r>
      <w:r>
        <w:t xml:space="preserve"> </w:t>
      </w:r>
      <w:r>
        <w:rPr>
          <w:b/>
          <w:bCs/>
        </w:rPr>
        <w:t xml:space="preserve">$94 million year-over-year reduction</w:t>
      </w:r>
      <w:r>
        <w:t xml:space="preserve"> </w:t>
      </w:r>
      <w:r>
        <w:t xml:space="preserve">in favorable prior-year development for 2026. This is why the distinction between reported growth and underlying growth is especially important.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What has been the catastrophe experience through early August?</w:t>
      </w:r>
      <w:r>
        <w:t xml:space="preserve"> </w:t>
      </w:r>
      <w:r>
        <w:t xml:space="preserve">Assurant’s full-year catastrophe assumption is</w:t>
      </w:r>
      <w:r>
        <w:t xml:space="preserve"> </w:t>
      </w:r>
      <w:r>
        <w:rPr>
          <w:b/>
          <w:bCs/>
        </w:rPr>
        <w:t xml:space="preserve">$185 million</w:t>
      </w:r>
      <w:r>
        <w:t xml:space="preserve">. Q1 included $24.4 million of reportable-cat losses, but the more weather-exposed part of the year is still ahead.</w:t>
      </w:r>
    </w:p>
    <w:p>
      <w:pPr>
        <w:pStyle w:val="FirstParagraph"/>
      </w:pPr>
      <w:r>
        <w:t xml:space="preserve">The reinsurance position is a positive offset: Assurant renewed its program with a</w:t>
      </w:r>
      <w:r>
        <w:t xml:space="preserve"> </w:t>
      </w:r>
      <m:oMath>
        <m:r>
          <m:t>160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p</m:t>
        </m:r>
        <m:r>
          <m:t>e</m:t>
        </m:r>
        <m:r>
          <m:t>r</m:t>
        </m:r>
        <m:r>
          <m:rPr>
            <m:sty m:val="p"/>
          </m:rPr>
          <m:t>−</m:t>
        </m:r>
        <m:r>
          <m:t>e</m:t>
        </m:r>
        <m:r>
          <m:t>v</m:t>
        </m:r>
        <m:r>
          <m:t>e</m:t>
        </m:r>
        <m:r>
          <m:t>n</m:t>
        </m:r>
        <m:r>
          <m:t>t</m:t>
        </m:r>
        <m:r>
          <m:t>r</m:t>
        </m:r>
        <m:r>
          <m:t>e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1.6 billion</w:t>
      </w:r>
      <w:r>
        <w:t xml:space="preserve"> </w:t>
      </w:r>
      <w:r>
        <w:t xml:space="preserve">of coverage above that retention, and estimated 2026 reinsurance costs of approximately</w:t>
      </w:r>
      <w:r>
        <w:t xml:space="preserve"> </w:t>
      </w:r>
      <w:r>
        <w:rPr>
          <w:b/>
          <w:bCs/>
        </w:rPr>
        <w:t xml:space="preserve">$180 million</w:t>
      </w:r>
      <w:r>
        <w:t xml:space="preserve">, down from roughly $200 million in 2025.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X1a7a628a9cf62d1e0c555aa647077047764f50f"/>
    <w:p>
      <w:pPr>
        <w:pStyle w:val="Heading2"/>
      </w:pPr>
      <w:r>
        <w:t xml:space="preserve">Guidance is the report’s most important output</w:t>
      </w:r>
    </w:p>
    <w:p>
      <w:pPr>
        <w:pStyle w:val="FirstParagraph"/>
      </w:pPr>
      <w:r>
        <w:t xml:space="preserve">After Q1, Assurant increased its 2026 outlook. It now expects: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outlook</w:t>
            </w:r>
          </w:p>
        </w:tc>
        <w:tc>
          <w:tcPr/>
          <w:p>
            <w:pPr>
              <w:pStyle w:val="Compact"/>
            </w:pPr>
            <w:r>
              <w:t xml:space="preserve">Current framework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Enterprise adjusted EBITDA, ex-cats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Low-single-digit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EPS, ex-cats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Low-single-digit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Underlying growth excluding reserve-development effects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High-single-digit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Lifestyle adjusted 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~10%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Housing EBITDA, ex-cats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Modest decline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Corporate &amp; Other EBITDA loss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~$140M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m:oMath>
              <m:r>
                <m:t>300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350M</w:t>
            </w:r>
          </w:p>
        </w:tc>
      </w:tr>
    </w:tbl>
    <w:p>
      <w:pPr>
        <w:pStyle w:val="BodyText"/>
      </w:pPr>
      <w:r>
        <w:t xml:space="preserve">The headline low-single-digit earnings outlook masks the reserve-development headwind. Management’s underlying high-single-digit growth framing is the more relevant measure of operational progress.</w:t>
      </w:r>
    </w:p>
    <w:bookmarkStart w:id="15" w:name="preview-takeaway-on-guidance"/>
    <w:p>
      <w:pPr>
        <w:pStyle w:val="Heading3"/>
      </w:pPr>
      <w:r>
        <w:t xml:space="preserve">Preview takeaway on guidance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Reaffirmation</w:t>
      </w:r>
      <w:r>
        <w:t xml:space="preserve"> </w:t>
      </w:r>
      <w:r>
        <w:t xml:space="preserve">would likely be viewed as acceptable, but perhaps not sufficient after the Q1 beat and outlook raise.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further increase</w:t>
      </w:r>
      <w:r>
        <w:t xml:space="preserve">, especially if driven by Global Lifestyle rather than favorable reserve development or investment gains, would be a meaningful positive.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Any reduction in the Lifestyle outlook</w:t>
      </w:r>
      <w:r>
        <w:t xml:space="preserve"> </w:t>
      </w:r>
      <w:r>
        <w:t xml:space="preserve">would be the clearest negative signal, given that this business is expected to be the company’s principal growth engine in 2026.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X93bb25ba662537674eb8152b62509a9dee27b6a"/>
    <w:p>
      <w:pPr>
        <w:pStyle w:val="Heading2"/>
      </w:pPr>
      <w:r>
        <w:t xml:space="preserve">Capital deployment: a quiet but important upside lever</w:t>
      </w:r>
    </w:p>
    <w:p>
      <w:pPr>
        <w:pStyle w:val="FirstParagraph"/>
      </w:pPr>
      <w:r>
        <w:t xml:space="preserve">Assurant entered the year with substantial financial flexibility:</w:t>
      </w:r>
    </w:p>
    <w:p>
      <w:pPr>
        <w:pStyle w:val="Compact"/>
        <w:numPr>
          <w:ilvl w:val="0"/>
          <w:numId w:val="1006"/>
        </w:numPr>
      </w:pPr>
      <w:r>
        <w:t xml:space="preserve">Holding-company liquidity was</w:t>
      </w:r>
      <w:r>
        <w:t xml:space="preserve"> </w:t>
      </w:r>
      <m:oMath>
        <m:r>
          <m:t>836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t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31</m:t>
        </m:r>
        <m:r>
          <m:rPr>
            <m:sty m:val="p"/>
          </m:rPr>
          <m:t>,</m:t>
        </m:r>
        <m:r>
          <m:t>o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611 million above</w:t>
      </w:r>
      <w:r>
        <w:t xml:space="preserve"> </w:t>
      </w:r>
      <w:r>
        <w:t xml:space="preserve">its internal minimum.</w:t>
      </w:r>
    </w:p>
    <w:p>
      <w:pPr>
        <w:pStyle w:val="Compact"/>
        <w:numPr>
          <w:ilvl w:val="0"/>
          <w:numId w:val="1006"/>
        </w:numPr>
      </w:pPr>
      <w:r>
        <w:t xml:space="preserve">The company repurchased</w:t>
      </w:r>
      <w:r>
        <w:t xml:space="preserve"> </w:t>
      </w:r>
      <m:oMath>
        <m:r>
          <m:t>125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Q</m:t>
        </m:r>
        <m:r>
          <m:t>1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30 million</w:t>
      </w:r>
      <w:r>
        <w:t xml:space="preserve"> </w:t>
      </w:r>
      <w:r>
        <w:t xml:space="preserve">through May 1.</w:t>
      </w:r>
    </w:p>
    <w:p>
      <w:pPr>
        <w:pStyle w:val="Compact"/>
        <w:numPr>
          <w:ilvl w:val="0"/>
          <w:numId w:val="1006"/>
        </w:numPr>
      </w:pPr>
      <w:r>
        <w:t xml:space="preserve">The updated</w:t>
      </w:r>
      <w:r>
        <w:t xml:space="preserve"> </w:t>
      </w:r>
      <m:oMath>
        <m:r>
          <m:t>300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350 million</w:t>
      </w:r>
      <w:r>
        <w:t xml:space="preserve"> </w:t>
      </w:r>
      <w:r>
        <w:t xml:space="preserve">2026 buyback target implies continued repurchase activity through the balance of the year, subject to M&amp;A and market conditions.</w:t>
      </w:r>
    </w:p>
    <w:p>
      <w:pPr>
        <w:pStyle w:val="Compact"/>
        <w:numPr>
          <w:ilvl w:val="0"/>
          <w:numId w:val="100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$620 million</w:t>
      </w:r>
      <w:r>
        <w:t xml:space="preserve"> </w:t>
      </w:r>
      <w:r>
        <w:t xml:space="preserve">remained under the current authorization as of early May.</w:t>
      </w:r>
    </w:p>
    <w:p>
      <w:pPr>
        <w:pStyle w:val="FirstParagraph"/>
      </w:pPr>
      <w:r>
        <w:t xml:space="preserve">With the diluted share count already down year over year, execution against the repurchase plan should continue to support per-share earnings even if reported EBITDA growth is partly held back by reserve-development comparisons.</w:t>
      </w:r>
    </w:p>
    <w:p>
      <w:r>
        <w:pict>
          <v:rect style="width:0;height:1.5pt" o:hralign="center" o:hrstd="t" o:hr="t"/>
        </w:pict>
      </w:r>
    </w:p>
    <w:bookmarkEnd w:id="17"/>
    <w:bookmarkStart w:id="21" w:name="X7dc173eb25252726b702417b7cc4191e8f5941b"/>
    <w:p>
      <w:pPr>
        <w:pStyle w:val="Heading2"/>
      </w:pPr>
      <w:r>
        <w:t xml:space="preserve">What would constitute a bullish, neutral, or bearish report?</w:t>
      </w:r>
    </w:p>
    <w:bookmarkStart w:id="18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07"/>
        </w:numPr>
      </w:pPr>
      <w:r>
        <w:t xml:space="preserve">Global Lifestyle growth remains firmly on trajectory for approximately 10% EBITDA growth.</w:t>
      </w:r>
    </w:p>
    <w:p>
      <w:pPr>
        <w:pStyle w:val="Compact"/>
        <w:numPr>
          <w:ilvl w:val="0"/>
          <w:numId w:val="1007"/>
        </w:numPr>
      </w:pPr>
      <w:r>
        <w:t xml:space="preserve">Connected Living shows continued subscriber, device-servicing, and fee-income momentum beyond Q1 seasonality.</w:t>
      </w:r>
    </w:p>
    <w:p>
      <w:pPr>
        <w:pStyle w:val="Compact"/>
        <w:numPr>
          <w:ilvl w:val="0"/>
          <w:numId w:val="1007"/>
        </w:numPr>
      </w:pPr>
      <w:r>
        <w:t xml:space="preserve">Automotive margins continue to improve without reliance on Q1-style gains.</w:t>
      </w:r>
    </w:p>
    <w:p>
      <w:pPr>
        <w:pStyle w:val="Compact"/>
        <w:numPr>
          <w:ilvl w:val="0"/>
          <w:numId w:val="1007"/>
        </w:numPr>
      </w:pPr>
      <w:r>
        <w:t xml:space="preserve">Housing produces solid premium growth with stable non-cat loss trends.</w:t>
      </w:r>
    </w:p>
    <w:p>
      <w:pPr>
        <w:pStyle w:val="Compact"/>
        <w:numPr>
          <w:ilvl w:val="0"/>
          <w:numId w:val="1007"/>
        </w:numPr>
      </w:pPr>
      <w:r>
        <w:t xml:space="preserve">Full-year guidance is raised again, or management signals that the current outlook is conservative.</w:t>
      </w:r>
    </w:p>
    <w:p>
      <w:pPr>
        <w:pStyle w:val="Compact"/>
        <w:numPr>
          <w:ilvl w:val="0"/>
          <w:numId w:val="1007"/>
        </w:numPr>
      </w:pPr>
      <w:r>
        <w:t xml:space="preserve">Share repurchase activity remains robust.</w:t>
      </w:r>
    </w:p>
    <w:bookmarkEnd w:id="18"/>
    <w:bookmarkStart w:id="19" w:name="neutral--in-line"/>
    <w:p>
      <w:pPr>
        <w:pStyle w:val="Heading3"/>
      </w:pPr>
      <w:r>
        <w:t xml:space="preserve">Neutral / in line</w:t>
      </w:r>
    </w:p>
    <w:p>
      <w:pPr>
        <w:pStyle w:val="Compact"/>
        <w:numPr>
          <w:ilvl w:val="0"/>
          <w:numId w:val="1008"/>
        </w:numPr>
      </w:pPr>
      <w:r>
        <w:t xml:space="preserve">Guidance is reaffirmed.</w:t>
      </w:r>
    </w:p>
    <w:p>
      <w:pPr>
        <w:pStyle w:val="Compact"/>
        <w:numPr>
          <w:ilvl w:val="0"/>
          <w:numId w:val="1008"/>
        </w:numPr>
      </w:pPr>
      <w:r>
        <w:t xml:space="preserve">Lifestyle growth moderates from Q1 but remains consistent with the full-year plan.</w:t>
      </w:r>
    </w:p>
    <w:p>
      <w:pPr>
        <w:pStyle w:val="Compact"/>
        <w:numPr>
          <w:ilvl w:val="0"/>
          <w:numId w:val="1008"/>
        </w:numPr>
      </w:pPr>
      <w:r>
        <w:t xml:space="preserve">Housing performs as expected, with reserve-development comparisons continuing to weigh on reported growth.</w:t>
      </w:r>
    </w:p>
    <w:p>
      <w:pPr>
        <w:pStyle w:val="Compact"/>
        <w:numPr>
          <w:ilvl w:val="0"/>
          <w:numId w:val="1008"/>
        </w:numPr>
      </w:pPr>
      <w:r>
        <w:t xml:space="preserve">Management retains a cautious view on catastrophe exposure and placement-rate trends.</w:t>
      </w:r>
    </w:p>
    <w:bookmarkEnd w:id="19"/>
    <w:bookmarkStart w:id="20" w:name="bearish"/>
    <w:p>
      <w:pPr>
        <w:pStyle w:val="Heading3"/>
      </w:pPr>
      <w:r>
        <w:t xml:space="preserve">Bearish</w:t>
      </w:r>
    </w:p>
    <w:p>
      <w:pPr>
        <w:pStyle w:val="Compact"/>
        <w:numPr>
          <w:ilvl w:val="0"/>
          <w:numId w:val="1009"/>
        </w:numPr>
      </w:pPr>
      <w:r>
        <w:t xml:space="preserve">Trade-in volumes, fee income, or subscriber growth slow more sharply than expected.</w:t>
      </w:r>
    </w:p>
    <w:p>
      <w:pPr>
        <w:pStyle w:val="Compact"/>
        <w:numPr>
          <w:ilvl w:val="0"/>
          <w:numId w:val="1009"/>
        </w:numPr>
      </w:pPr>
      <w:r>
        <w:t xml:space="preserve">Automotive loss experience weakens or management becomes less confident in its recovery.</w:t>
      </w:r>
    </w:p>
    <w:p>
      <w:pPr>
        <w:pStyle w:val="Compact"/>
        <w:numPr>
          <w:ilvl w:val="0"/>
          <w:numId w:val="1009"/>
        </w:numPr>
      </w:pPr>
      <w:r>
        <w:t xml:space="preserve">Housing non-cat losses or reserve development deteriorate.</w:t>
      </w:r>
    </w:p>
    <w:p>
      <w:pPr>
        <w:pStyle w:val="Compact"/>
        <w:numPr>
          <w:ilvl w:val="0"/>
          <w:numId w:val="1009"/>
        </w:numPr>
      </w:pPr>
      <w:r>
        <w:t xml:space="preserve">Catastrophe losses run meaningfully ahead of the company’s seasonal expectations.</w:t>
      </w:r>
    </w:p>
    <w:p>
      <w:pPr>
        <w:pStyle w:val="Compact"/>
        <w:numPr>
          <w:ilvl w:val="0"/>
          <w:numId w:val="1009"/>
        </w:numPr>
      </w:pPr>
      <w:r>
        <w:t xml:space="preserve">The company lowers Global Lifestyle guidance, trims its full-year outlook, or reduces expected buybacks.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X5d70123dd9e2758f0e2152b6260bc91274ef822"/>
    <w:p>
      <w:pPr>
        <w:pStyle w:val="Heading2"/>
      </w:pPr>
      <w:r>
        <w:t xml:space="preserve">Questions for management on the August 5 call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did Q2 Connected Living performance compare with Q1 after normal trade-in seasonality?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What were the largest contributors to Lifestyle growth: subscriber additions, reverse-logistics volumes, extended-service contracts, or pricing/mix?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Are the new carrier, Xfinity, Verizon-prepaid, Best Buy, and T-Mobile/U.S. Cellular initiatives contributing in line with the original plan?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Does Global Automotive’s improved loss experience remain durable as older underwriting cohorts run off?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What are management’s latest observations on lender-placed placement rates and the voluntary homeowners market?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much catastrophe loss has been recognized year to date relative to the $185 million full-year assumption?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What is the current outlook for prior-year reserve development in Housing during the remainder of 2026?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much stock has been repurchased since May 1, and is the</w:t>
      </w:r>
      <w:r>
        <w:rPr>
          <w:b/>
          <w:bCs/>
        </w:rPr>
        <w:t xml:space="preserve"> </w:t>
      </w:r>
      <m:oMath>
        <m:r>
          <m:t>300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350 million buyback range still the right expectation?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What early KPIs can investors use to assess the Home Warranty rollout with Compass and potential expansion to additional partners?</w:t>
      </w:r>
    </w:p>
    <w:p>
      <w:r>
        <w:pict>
          <v:rect style="width:0;height:1.5pt" o:hralign="center" o:hrstd="t" o:hr="t"/>
        </w:pict>
      </w:r>
    </w:p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Assurant has earned a stronger valuation setup through consistent execution, a growing Lifestyle platform, better Automotive profitability, resilient Housing economics, and meaningful buybacks. But that success has raised expectations.</w:t>
      </w:r>
    </w:p>
    <w:p>
      <w:pPr>
        <w:pStyle w:val="BodyText"/>
      </w:pPr>
      <w:r>
        <w:t xml:space="preserve">For Q2, the most important proof point is</w:t>
      </w:r>
      <w:r>
        <w:t xml:space="preserve"> </w:t>
      </w:r>
      <w:r>
        <w:rPr>
          <w:b/>
          <w:bCs/>
        </w:rPr>
        <w:t xml:space="preserve">quality of earnings</w:t>
      </w:r>
      <w:r>
        <w:t xml:space="preserve">: investors will want to see that the raised 2026 outlook is supported by recurring Global Lifestyle growth and stable Housing fundamentals—not by one-time gains, benign weather, or accounting-tailwind items. A clean report with confident guidance should reinforce the durability of the thesis; a slowdown in Lifestyle or unexpected Housing pressure would matter disproportionately given the stock’s strong run into the release.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2026-08-04T01:52:14Z</dcterms:created>
  <dcterms:modified xsi:type="dcterms:W3CDTF">2026-08-04T01:52:14Z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