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pBdr>
          <w:bottom w:val="single" w:sz="4" w:space="1" w:color="FB9120"/>
        </w:pBdr>
      </w:pPr>
      <w:r>
        <w:rPr>
          <w:rFonts w:ascii="Calibri" w:hAnsi="Calibri"/>
          <w:b/>
          <w:color w:val="3B4259"/>
          <w:sz w:val="40"/>
        </w:rPr>
        <w:t>Assurant, Inc. (AIZ) — Q2 2026 Earnings Preview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Company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sz w:val="22"/>
              </w:rPr>
              <w:t>Assurant, Inc.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Ticker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sz w:val="22"/>
              </w:rPr>
              <w:t>AIZ (NYSE)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Reporting Period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sz w:val="22"/>
              </w:rPr>
              <w:t>Q2 2026 (quarter ended June 30, 2026)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Expected Earnings Date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sz w:val="22"/>
              </w:rPr>
              <w:t>Early August 2026 (TBD; Q2 date announcement filed July 6, 2026)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Last Earnings Date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sz w:val="22"/>
              </w:rPr>
              <w:t>May 5, 2026 (Q1 2026)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Prepared Date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sz w:val="22"/>
              </w:rPr>
              <w:t>August 3, 2026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Sector ETF Benchmark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sz w:val="22"/>
              </w:rPr>
              <w:t>IAK (iShares U.S. Insurance ETF)</w:t>
            </w:r>
          </w:p>
        </w:tc>
      </w:tr>
    </w:tbl>
    <w:p>
      <w:pPr>
        <w:pStyle w:val="Heading2"/>
      </w:pPr>
      <w:r>
        <w:rPr>
          <w:rFonts w:ascii="Calibri" w:hAnsi="Calibri"/>
          <w:b/>
          <w:color w:val="3B4259"/>
          <w:sz w:val="28"/>
        </w:rPr>
        <w:t>1. Earnings Preview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>Setup leans toward a beat — consensus is a manageable bar after Q1's record print, and the biggest swing factor is whether Connected Living momentum and Global Auto loss improvement continue to compound in Q2.</w:t>
      </w:r>
    </w:p>
    <w:p>
      <w:r>
        <w:rPr>
          <w:rFonts w:ascii="Calibri" w:hAnsi="Calibri"/>
          <w:color w:val="525866"/>
          <w:sz w:val="22"/>
        </w:rPr>
        <w:t xml:space="preserve">Heading into Q2 2026, Assurant carries significant momentum from what management called the strongest quarter in company history, and the bar set by consensus appears achievable: Q2 2026 EPS ex-cats consensus of $5.67 implies only modest sequential deceleration from Q1's $6.33 actual, while the full-year guide of low-single-digit EBITDA/EPS growth (ex-cats, ex-prior-year development) was already raised at Q1. </w:t>
      </w:r>
      <w:r>
        <w:rPr>
          <w:rFonts w:ascii="Calibri" w:hAnsi="Calibri"/>
          <w:b/>
          <w:color w:val="525866"/>
          <w:sz w:val="22"/>
        </w:rPr>
        <w:t>Management's tone has shifted decisively confident</w:t>
      </w:r>
      <w:r>
        <w:rPr>
          <w:rFonts w:ascii="Calibri" w:hAnsi="Calibri"/>
          <w:color w:val="525866"/>
          <w:sz w:val="22"/>
        </w:rPr>
        <w:t xml:space="preserve"> — the full-year Lifestyle outlook was lifted to ~10% growth, buyback guidance was raised to the high end of the $300–$350M range, and four new mobile program wins were announced in a single quarter, signaling durable pipeline execution rather than a one-quarter spike. Estimate revisions have been modestly positive since the Q1 print, with Q2 EPS consensus up ~$0.08 and FY 2026 EPS up ~$0.07 since May 12, suggesting the Street is gradually catching up to management's raised bar rather than getting ahead of it. </w:t>
      </w:r>
      <w:r>
        <w:rPr>
          <w:rFonts w:ascii="Calibri" w:hAnsi="Calibri"/>
          <w:b/>
          <w:color w:val="525866"/>
          <w:sz w:val="22"/>
        </w:rPr>
        <w:t>The stock has already re-rated sharply (+19% since Q1 earnings vs. IAK +12%, SPY +5%)</w:t>
      </w:r>
      <w:r>
        <w:rPr>
          <w:rFonts w:ascii="Calibri" w:hAnsi="Calibri"/>
          <w:color w:val="525866"/>
          <w:sz w:val="22"/>
        </w:rPr>
        <w:t xml:space="preserve">, so some beat is priced in, but the multiple still looks undemanding relative to the company's 30%+ ROTE and tenth consecutive year of profitable growth trajectory. The key wildcard is </w:t>
      </w:r>
      <w:r>
        <w:rPr>
          <w:rFonts w:ascii="Calibri" w:hAnsi="Calibri"/>
          <w:b/>
          <w:color w:val="525866"/>
          <w:sz w:val="22"/>
        </w:rPr>
        <w:t>catastrophe activity in Q2</w:t>
      </w:r>
      <w:r>
        <w:rPr>
          <w:rFonts w:ascii="Calibri" w:hAnsi="Calibri"/>
          <w:color w:val="525866"/>
          <w:sz w:val="22"/>
        </w:rPr>
        <w:t xml:space="preserve"> — peers TRV and CB reported modest but non-trivial cat losses ($400M+ and $475M pre-tax, respectively) from Q2 weather events, and any upside surprise in AIZ's Housing combined ratio from lower-than-assumed cats could be the incremental beat driver.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2. KPIs &amp; Consensus Expectations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Consensus is a </w:t>
      </w:r>
      <w:r>
        <w:rPr>
          <w:rFonts w:ascii="Calibri" w:hAnsi="Calibri"/>
          <w:b/>
          <w:color w:val="525866"/>
          <w:sz w:val="22"/>
        </w:rPr>
        <w:t>manageable bar</w:t>
      </w:r>
      <w:r>
        <w:rPr>
          <w:rFonts w:ascii="Calibri" w:hAnsi="Calibri"/>
          <w:color w:val="525866"/>
          <w:sz w:val="22"/>
        </w:rPr>
        <w:t xml:space="preserve"> heading into Q2 — Q2 EPS ex-cats of $5.67 is below Q1's $6.33 actual and below Q2 2025's $5.55 actual, leaving room for upside. The bigger swing factor is </w:t>
      </w:r>
      <w:r>
        <w:rPr>
          <w:rFonts w:ascii="Calibri" w:hAnsi="Calibri"/>
          <w:b/>
          <w:color w:val="525866"/>
          <w:sz w:val="22"/>
        </w:rPr>
        <w:t>Global Lifestyle EBITDA</w:t>
      </w:r>
      <w:r>
        <w:rPr>
          <w:rFonts w:ascii="Calibri" w:hAnsi="Calibri"/>
          <w:color w:val="525866"/>
          <w:sz w:val="22"/>
        </w:rPr>
        <w:t>, where the raised ~10% full-year growth guide implies continued double-digit Connected Living momentum and sustained Global Auto improvement.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Table 1 — Q2 2026 Current Quarter Snapshot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KPI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Q1 2026 Actual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Q2 2025 Actual (Prior Year)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Q2 2026 Consensus Estimate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YoY Change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FY 2026 Guidance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 vs. Guidance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EPS — Diluted ex-Cats, Operating ($)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$6.33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$5.55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$5.67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+2.1% YoY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Low single-digit growth ex-cats (FY 2026 cons. $24.08)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FY cons. $24.08 implies ~low-single-digit growth vs. FY 2025 actuals; in-line with guide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Total Revenue ($B)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$3.42B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$3.16B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$3.43B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+8.7% YoY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Not explicitly guided; FY 2026 cons. $13.90B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 — no explicit revenue guidance provided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Adj. EBITDA ex-Cats ($M)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$465.9M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$415.8M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$428.9M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+3.1% YoY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Low single-digit growth ex-cats (FY 2026 cons. $1,803M)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FY cons. $1,803M in-line with low-single-digit growth guide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Adj. EBITDA — Global Lifestyle ($M)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$236.7M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$201.4M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$214.0M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+6.2% YoY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~10% full-year growth (FY 2026 cons. $885.5M)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Q2 cons. $214M implies deceleration from Q1's record; FY cons. broadly consistent with ~10% guide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Adj. EBITDA — Global Housing ($M)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$236.7M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$214.4M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$219.5M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+2.4% YoY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Decline only modestly ex-cats; solid underlying growth ex-prior-year development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Q2 cons. $219.5M slightly above Q2 2025 actual; consistent with modest decline guide given prior-year development headwind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Adj. EBITDA ex-Cats — Global Housing ($M)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$261.1M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$244.2M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$250.9M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+2.7% YoY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Solid underlying growth; FY 2026 cons. $1,052.5M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FY cons. $1,052.5M consistent with solid underlying growth guide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Combined Ratio — Global Housing (%)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79.6%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80.9%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82.2%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+130 bps YoY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Low-to-mid 80s for FY 2026 (ex-prior-year development)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Q2 cons. 82.2% within guided low-to-mid 80s range</w:t>
            </w:r>
          </w:p>
        </w:tc>
      </w:tr>
    </w:tbl>
    <w:p>
      <w:r>
        <w:rPr>
          <w:rFonts w:ascii="Calibri" w:hAnsi="Calibri"/>
          <w:i/>
          <w:color w:val="525866"/>
          <w:sz w:val="22"/>
        </w:rPr>
        <w:t>Source: Visible Alpha Consensus and Actuals Data. All consensus figures as of latest available (August 3, 2026); as-of 5/12/2026 baseline used for revision tracking. Q2 2026 actuals not yet reported.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Table 2 — Beat/Miss History (Last 8 Quarters, Top 2 KPIs)</w:t>
      </w:r>
    </w:p>
    <w:p>
      <w:r>
        <w:rPr>
          <w:rFonts w:ascii="Calibri" w:hAnsi="Calibri"/>
          <w:b/>
          <w:color w:val="525866"/>
          <w:sz w:val="22"/>
        </w:rPr>
        <w:t>Top 2 KPIs: (1) EPS — Diluted ex-Cats, Operating; (2) Adj. EBITDA — Global Lifestyle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Quarter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KPI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Reported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Surprise %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Result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Q1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EPS ex-Cats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$6.33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$5.83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+8.6%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Q1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Lifestyle EBITDA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$236.7M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$210.9M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+12.2%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Q4 2025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EPS ex-Cats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$5.75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$5.95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−3.4%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Q4 2025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Lifestyle EBITDA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$195.3M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$205.3M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−4.9%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Q3 2025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EPS ex-Cats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$5.76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$5.23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+10.1%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Q3 2025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Lifestyle EBITDA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$206.8M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$198.4M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+4.2%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Q2 2025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EPS ex-Cats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$5.55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$5.00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+11.1%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Q2 2025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Lifestyle EBITDA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$201.4M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$196.4M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+2.5%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Q1 2025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EPS ex-Cats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$5.79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$5.23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+10.7%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Q1 2025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Lifestyle EBITDA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$197.8M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$210.6M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−6.1%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Q4 2024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EPS ex-Cats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$5.54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$5.02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+10.4%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Q4 2024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Lifestyle EBITDA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$191.7M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$208.4M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−8.0%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Q3 2024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EPS ex-Cats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$5.08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$4.58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+11.0%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Q3 2024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Lifestyle EBITDA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$184.3M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$193.6M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−4.8%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Q2 2024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EPS ex-Cats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$4.77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$4.29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+11.2%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Q2 2024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Lifestyle EBITDA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$189.7M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$195.5M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−3.0%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</w:tr>
    </w:tbl>
    <w:p>
      <w:r>
        <w:rPr>
          <w:rFonts w:ascii="Calibri" w:hAnsi="Calibri"/>
          <w:b/>
          <w:color w:val="525866"/>
          <w:sz w:val="22"/>
        </w:rPr>
        <w:t xml:space="preserve">Pattern: </w:t>
      </w:r>
      <w:r>
        <w:rPr>
          <w:rFonts w:ascii="Calibri" w:hAnsi="Calibri"/>
          <w:color w:val="525866"/>
          <w:sz w:val="22"/>
        </w:rPr>
        <w:t>AIZ has beaten EPS ex-cats consensus in 7 of the last 8 quarters with an average surprise of ~+9%, making it one of the most consistent EPS beaters in specialty insurance; Lifestyle EBITDA has been more volatile, missing in 5 of 8 quarters as the Street has struggled to model Connected Living program timing — Q1 2026's +12.2% beat may signal the Street is finally underestimating the segment's run-rate.</w:t>
      </w:r>
    </w:p>
    <w:p>
      <w:r>
        <w:rPr>
          <w:rFonts w:ascii="Calibri" w:hAnsi="Calibri"/>
          <w:i/>
          <w:color w:val="525866"/>
          <w:sz w:val="22"/>
        </w:rPr>
        <w:t>Source: Visible Alpha Consensus and Actuals Data.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3. Guidance &amp; Commentary Evolution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Management </w:t>
      </w:r>
      <w:r>
        <w:rPr>
          <w:rFonts w:ascii="Calibri" w:hAnsi="Calibri"/>
          <w:b/>
          <w:color w:val="525866"/>
          <w:sz w:val="22"/>
        </w:rPr>
        <w:t>raised guidance at Q1 2026 earnings</w:t>
      </w:r>
      <w:r>
        <w:rPr>
          <w:rFonts w:ascii="Calibri" w:hAnsi="Calibri"/>
          <w:color w:val="525866"/>
          <w:sz w:val="22"/>
        </w:rPr>
        <w:t xml:space="preserve"> and has not issued any subsequent updates — the tone remains confidently bullish, with Lifestyle growth lifted to ~10%, Housing expected to decline only modestly, and buybacks guided to the high end of the range. No post-earnings revisions have been filed.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Metric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Initial Guidance (Q1 2026 Earnings Call, May 5, 2026)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Revised Guidance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Current Consensus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Note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 2026 Adj. EBITDA &amp; EPS Growth (ex-cats)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Low single-digit growth, overcoming $94M of lower favorable prior-year reserve development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 2026 EPS cons. $24.08; FY 2026 Adj. EBITDA ex-cats cons. $1,803M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Guidance raised at Q1 2026 earnings from prior “high single-digit underlying growth” framing; consensus broadly in-line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 2026 Underlying Growth (ex-cats, ex-prior-year development)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High single-digit underlying growth in both Adj. EBITDA and EPS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Implied by consensus trajectory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Unchanged; management expressed high confidence in underlying business momentum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Global Lifestyle EBITDA Growth (FY 2026)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~10% growth (raised from prior guidance)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 2026 Lifestyle EBITDA cons. $885.5M (~10% above FY 2025 actual of ~$800M)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↑ Raised at Q1 2026 earnings; driven by Connected Living program wins and Global Auto improvement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Global Housing EBITDA (FY 2026)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Decline only modestly ex-cats; solid underlying growth ex-prior-year development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 2026 Housing EBITDA cons. $870.2M; Housing EBITDA ex-cats cons. $1,052.5M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↑ Improved from prior “modest decline” framing; lender-placed growth and voluntary market hardening cited as drivers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 2026 Combined Ratio — Global Housing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Low-to-mid 80s (ex-prior-year development)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 2026 cons. 82.5%; Q2 2026 cons. 82.2%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Unchanged; consensus within guided range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 2026 Cat Assumption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$185M (up modestly from $175M in 2025 due to business growth)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N/A — not separately tracked in consensus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Cat reinsurance premiums reduced to ~$180M from ~$200M in 2025; favorable market pricing and lower Florida exposure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 2026 Share Repurchases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$300M–$350M (raised to high end of initial range)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N/A — not in consensus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↑ Raised at Q1 2026 earnings; liquidity of $836M at Q1 end provides flexibility</w:t>
            </w:r>
          </w:p>
        </w:tc>
      </w:tr>
    </w:tbl>
    <w:p>
      <w:r>
        <w:rPr>
          <w:rFonts w:ascii="Calibri" w:hAnsi="Calibri"/>
          <w:i/>
          <w:color w:val="525866"/>
          <w:sz w:val="22"/>
        </w:rPr>
        <w:t>Source: Assurant Q1 2026 Earnings Call Transcript (May 5, 2026); Visible Alpha Consensus Data.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4. Guidance vs. Estimate Revision Tracker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Estimates have moved </w:t>
      </w:r>
      <w:r>
        <w:rPr>
          <w:rFonts w:ascii="Calibri" w:hAnsi="Calibri"/>
          <w:b/>
          <w:color w:val="525866"/>
          <w:sz w:val="22"/>
        </w:rPr>
        <w:t>modestly higher</w:t>
      </w:r>
      <w:r>
        <w:rPr>
          <w:rFonts w:ascii="Calibri" w:hAnsi="Calibri"/>
          <w:color w:val="525866"/>
          <w:sz w:val="22"/>
        </w:rPr>
        <w:t xml:space="preserve"> since the Q1 2026 print across all key KPIs, with Q2 EPS up ~$0.08 and FY EPS up ~$0.07 — the Street is gradually revising up but has not fully closed the gap to management's raised guidance, suggesting </w:t>
      </w:r>
      <w:r>
        <w:rPr>
          <w:rFonts w:ascii="Calibri" w:hAnsi="Calibri"/>
          <w:b/>
          <w:color w:val="525866"/>
          <w:sz w:val="22"/>
        </w:rPr>
        <w:t>estimates remain a low bar with upside cushion</w:t>
      </w:r>
      <w:r>
        <w:rPr>
          <w:rFonts w:ascii="Calibri" w:hAnsi="Calibri"/>
          <w:color w:val="525866"/>
          <w:sz w:val="22"/>
        </w:rPr>
        <w:t xml:space="preserve"> if Lifestyle momentum continues.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KPI (Period)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Estimate at May 12, 2026 (+5 Days Post Q1 Print)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Current Consensus (Aug 3, 2026)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Estimate Δ (%)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Initial Guidance (Q1 2026 Call)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Current Guidance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Guidance Δ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 vs. Guidance (%)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EPS ex-Cats (Q2 2026)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$5.66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$5.67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+0.2%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Not guided at quarter level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Not guided at quarter level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EPS ex-Cats (FY 2026)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$24.01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$24.08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+0.3%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Low single-digit growth ex-cats (FY 2025 actual ~$22.43 implied)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 — low single-digit growth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In-line with guide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Adj. EBITDA ex-Cats (Q2 2026)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$432.9M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$428.9M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−0.9%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Not guided at quarter level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Not guided at quarter level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Adj. EBITDA ex-Cats (FY 2026)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$1,799.5M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$1,803.1M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+0.2%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Low single-digit growth ex-cats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In-line with guide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Lifestyle EBITDA (Q2 2026)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$214.4M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$214.0M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−0.2%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~10% FY growth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 — ~10% FY growth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Q2 cons. implies ~6% YoY; FY cons. $885.5M broadly consistent with ~10% guide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Lifestyle EBITDA (FY 2026)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$883.4M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$885.5M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+0.2%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~10% FY growth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In-line with ~10% guide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Housing EBITDA ex-Cats (Q2 2026)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$251.0M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$250.9M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Flat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Solid underlying growth ex-prior-year development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Consistent with solid underlying growth guide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Housing EBITDA ex-Cats (FY 2026)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$1,051.8M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$1,052.5M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+0.1%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Solid underlying growth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In-line with guide</w:t>
            </w:r>
          </w:p>
        </w:tc>
      </w:tr>
    </w:tbl>
    <w:p>
      <w:r>
        <w:rPr>
          <w:rFonts w:ascii="Calibri" w:hAnsi="Calibri"/>
          <w:color w:val="525866"/>
          <w:sz w:val="22"/>
        </w:rPr>
        <w:t>Estimates are tracking guidance closely with minimal divergence since the Q1 print — the Street has not materially re-rated the Q2 bar upward despite Q1's record beat, which historically has been the setup for another EPS outperformance given AIZ's 7-of-8 beat rate.</w:t>
      </w:r>
    </w:p>
    <w:p>
      <w:r>
        <w:rPr>
          <w:rFonts w:ascii="Calibri" w:hAnsi="Calibri"/>
          <w:i/>
          <w:color w:val="525866"/>
          <w:sz w:val="22"/>
        </w:rPr>
        <w:t>Source: Visible Alpha Consensus and Actuals Data. Baseline as of May 12, 2026 (5 trading days post Q1 2026 earnings).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5. Stock Performance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AIZ has </w:t>
      </w:r>
      <w:r>
        <w:rPr>
          <w:rFonts w:ascii="Calibri" w:hAnsi="Calibri"/>
          <w:b/>
          <w:color w:val="525866"/>
          <w:sz w:val="22"/>
        </w:rPr>
        <w:t>significantly outperformed</w:t>
      </w:r>
      <w:r>
        <w:rPr>
          <w:rFonts w:ascii="Calibri" w:hAnsi="Calibri"/>
          <w:color w:val="525866"/>
          <w:sz w:val="22"/>
        </w:rPr>
        <w:t xml:space="preserve"> both the insurance sector (IAK) and the broader market (SPY) since Q1 2026 earnings, driven by a combination of estimate revisions and multiple re-rating on the back of the record Q1 print and raised guidance — the stock is up </w:t>
      </w:r>
      <w:r>
        <w:rPr>
          <w:rFonts w:ascii="Calibri" w:hAnsi="Calibri"/>
          <w:b/>
          <w:color w:val="525866"/>
          <w:sz w:val="22"/>
        </w:rPr>
        <w:t>+19.1% vs. IAK +12.0% and SPY +4.7%</w:t>
      </w:r>
      <w:r>
        <w:rPr>
          <w:rFonts w:ascii="Calibri" w:hAnsi="Calibri"/>
          <w:color w:val="525866"/>
          <w:sz w:val="22"/>
        </w:rPr>
        <w:t xml:space="preserve"> since May 5, 2026.</w:t>
      </w:r>
    </w:p>
    <w:p>
      <w:r>
        <w:drawing>
          <wp:inline xmlns:a="http://schemas.openxmlformats.org/drawingml/2006/main" xmlns:pic="http://schemas.openxmlformats.org/drawingml/2006/picture">
            <wp:extent cx="5943600" cy="424542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54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666666"/>
          <w:sz w:val="18"/>
        </w:rPr>
        <w:t>AIZ vs. IAK (iShares U.S. Insurance ETF) vs. S&amp;P 500 (SPY) — Indexed to 100 at Q1 2026 Earnings Date (May 5, 2026). Source: Stock Price Data.</w:t>
      </w:r>
    </w:p>
    <w:p>
      <w:r>
        <w:rPr>
          <w:rFonts w:ascii="Calibri" w:hAnsi="Calibri"/>
          <w:color w:val="525866"/>
          <w:sz w:val="22"/>
        </w:rPr>
        <w:t>AIZ opened at $237.14 on May 5, 2026 (Q1 earnings day) and closed at $282.39 on August 4, 2026, a gain of +$45.25 / +19.1%. The stock's outperformance accelerated in two distinct legs: (1) an initial re-rating in mid-May as the market digested the record Q1 beat and raised guidance, and (2) a second leg higher in late June through early July, likely driven by sector tailwinds as insurance peers (TRV, CB, HIG) reported strong Q2 results with favorable underwriting margins. IAK gained +12.0% over the same period, reflecting broad insurance sector strength, while SPY gained only +4.7%, underscoring the sector's defensive outperformance. The stock's sharp re-rating means some beat is already priced in for Q2, but the multiple remains undemanding relative to AIZ's earnings power and capital return trajectory.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6. Material News &amp; Developments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The most important development since Q1 earnings is the </w:t>
      </w:r>
      <w:r>
        <w:rPr>
          <w:rFonts w:ascii="Calibri" w:hAnsi="Calibri"/>
          <w:b/>
          <w:color w:val="525866"/>
          <w:sz w:val="22"/>
        </w:rPr>
        <w:t>announcement of four new mobile program wins in a single quarter</w:t>
      </w:r>
      <w:r>
        <w:rPr>
          <w:rFonts w:ascii="Calibri" w:hAnsi="Calibri"/>
          <w:color w:val="525866"/>
          <w:sz w:val="22"/>
        </w:rPr>
        <w:t xml:space="preserve"> — including T-Mobile/US Cellular migration, Xfinity Mobile Plus, and Verizon Straight Talk Protect — which materially de-risks the Connected Living growth outlook and supports the raised ~10% Lifestyle EBITDA guide.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May 5, 2026 — Q1 2026 Record Earnings &amp; Raised Guidance:</w:t>
      </w:r>
      <w:r>
        <w:rPr>
          <w:rFonts w:ascii="Calibri" w:hAnsi="Calibri"/>
          <w:color w:val="525866"/>
          <w:sz w:val="22"/>
        </w:rPr>
        <w:t xml:space="preserve"> Assurant reported its strongest quarter in company history, with Adj. EPS ex-cats of $6.33 (+8.6% vs. consensus $5.83) and record Global Lifestyle EBITDA of $236.7M (+12.2% vs. consensus). Full-year Lifestyle growth guide raised to ~10%; Housing guide improved to “decline only modestly”; buyback guidance raised to $300–$350M at the high end. </w:t>
      </w:r>
      <w:r>
        <w:rPr>
          <w:rFonts w:ascii="Calibri" w:hAnsi="Calibri"/>
          <w:b/>
          <w:i/>
          <w:color w:val="525866"/>
          <w:sz w:val="22"/>
        </w:rPr>
        <w:t>Implication: Sets a high-quality baseline for Q2 and validates the multi-year growth thesis.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May 5, 2026 — Four New Mobile Program Announcements:</w:t>
      </w:r>
      <w:r>
        <w:rPr>
          <w:rFonts w:ascii="Calibri" w:hAnsi="Calibri"/>
          <w:color w:val="525866"/>
          <w:sz w:val="22"/>
        </w:rPr>
        <w:t xml:space="preserve"> (1) Long-term agreement with T-Mobile following US Cellular acquisition, migrating a large in-force subscriber base; (2) Reverse logistics expansion with another large U.S. carrier; (3) Xfinity Mobile Plus lifetime protection plan launch; (4) Verizon Straight Talk Protect launch. Total devices protected now at nearly 69 million globally. </w:t>
      </w:r>
      <w:r>
        <w:rPr>
          <w:rFonts w:ascii="Calibri" w:hAnsi="Calibri"/>
          <w:b/>
          <w:i/>
          <w:color w:val="525866"/>
          <w:sz w:val="22"/>
        </w:rPr>
        <w:t>Implication: Pipeline execution de-risks Connected Living growth; reverse logistics scaling adds a high-margin revenue stream.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May 5, 2026 — Cat Reinsurance Program Secured at Lower Cost:</w:t>
      </w:r>
      <w:r>
        <w:rPr>
          <w:rFonts w:ascii="Calibri" w:hAnsi="Calibri"/>
          <w:color w:val="525866"/>
          <w:sz w:val="22"/>
        </w:rPr>
        <w:t xml:space="preserve"> 2026 cat reinsurance premiums estimated at ~$180M vs. ~$200M in 2025, reflecting favorable market pricing, portfolio strength, and lower Florida exposures. Per-event retention of $160M unchanged; main U.S. program provides ~$1.6B of loss coverage. </w:t>
      </w:r>
      <w:r>
        <w:rPr>
          <w:rFonts w:ascii="Calibri" w:hAnsi="Calibri"/>
          <w:b/>
          <w:i/>
          <w:color w:val="525866"/>
          <w:sz w:val="22"/>
        </w:rPr>
        <w:t>Implication: ~$20M tailwind to Housing profitability vs. prior year; reduces earnings sensitivity to moderate cat events.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May 5, 2026 — Home Warranty Launch with Compass International Holdings:</w:t>
      </w:r>
      <w:r>
        <w:rPr>
          <w:rFonts w:ascii="Calibri" w:hAnsi="Calibri"/>
          <w:color w:val="525866"/>
          <w:sz w:val="22"/>
        </w:rPr>
        <w:t xml:space="preserve"> Long-term relationship spanning 6 U.S. real estate brands progressing well. Assurant leveraging its existing contractor network from Best Buy and Lowe’s relationships. </w:t>
      </w:r>
      <w:r>
        <w:rPr>
          <w:rFonts w:ascii="Calibri" w:hAnsi="Calibri"/>
          <w:b/>
          <w:i/>
          <w:color w:val="525866"/>
          <w:sz w:val="22"/>
        </w:rPr>
        <w:t>Implication: Early-stage but strategically important adjacent market entry; Corporate segment losses (~$32M/quarter) reflect investment spend.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May 5, 2026 — Two Long-Term Lender-Placed Renewals:</w:t>
      </w:r>
      <w:r>
        <w:rPr>
          <w:rFonts w:ascii="Calibri" w:hAnsi="Calibri"/>
          <w:color w:val="525866"/>
          <w:sz w:val="22"/>
        </w:rPr>
        <w:t xml:space="preserve"> Completed renewals with large lender-placed partners representing over 5 million loans. Placement rates continuing to pick up driven by tight homeowners market. </w:t>
      </w:r>
      <w:r>
        <w:rPr>
          <w:rFonts w:ascii="Calibri" w:hAnsi="Calibri"/>
          <w:b/>
          <w:i/>
          <w:color w:val="525866"/>
          <w:sz w:val="22"/>
        </w:rPr>
        <w:t>Implication: Locks in Housing revenue base and supports lender-placed growth outlook for 2026–2027.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July 6, 2026 — Q2 2026 Earnings Date Announcement:</w:t>
      </w:r>
      <w:r>
        <w:rPr>
          <w:rFonts w:ascii="Calibri" w:hAnsi="Calibri"/>
          <w:color w:val="525866"/>
          <w:sz w:val="22"/>
        </w:rPr>
        <w:t xml:space="preserve"> Assurant filed a press release announcing it will report Q2 2026 financial results in early August 2026. No pre-announcement or guidance update was included. </w:t>
      </w:r>
      <w:r>
        <w:rPr>
          <w:rFonts w:ascii="Calibri" w:hAnsi="Calibri"/>
          <w:b/>
          <w:i/>
          <w:color w:val="525866"/>
          <w:sz w:val="22"/>
        </w:rPr>
        <w:t>Implication: Absence of a pre-announcement is a mild positive signal — no negative surprise to flag ahead of the print.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Ongoing — AI &amp; Automation Investment Across All Segments:</w:t>
      </w:r>
      <w:r>
        <w:rPr>
          <w:rFonts w:ascii="Calibri" w:hAnsi="Calibri"/>
          <w:color w:val="525866"/>
          <w:sz w:val="22"/>
        </w:rPr>
        <w:t xml:space="preserve"> Management highlighted AI-enabled reverse logistics capabilities from RL Circular Operations acquisition, AI-based claims processing in Global Auto, and Cover360 digital platform driving double-digit penetration in renters. Management called AI a “game changer” for the company over time. </w:t>
      </w:r>
      <w:r>
        <w:rPr>
          <w:rFonts w:ascii="Calibri" w:hAnsi="Calibri"/>
          <w:b/>
          <w:i/>
          <w:color w:val="525866"/>
          <w:sz w:val="22"/>
        </w:rPr>
        <w:t>Implication: Expense leverage from AI investments could be an incremental margin driver in H2 2026.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7. Peer Commentaries — Q2 2026 Read-Through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Q2 2026 peer earnings calls from TRV, HIG, CB, and RYAN collectively paint a </w:t>
      </w:r>
      <w:r>
        <w:rPr>
          <w:rFonts w:ascii="Calibri" w:hAnsi="Calibri"/>
          <w:b/>
          <w:color w:val="525866"/>
          <w:sz w:val="22"/>
        </w:rPr>
        <w:t>constructive backdrop for AIZ</w:t>
      </w:r>
      <w:r>
        <w:rPr>
          <w:rFonts w:ascii="Calibri" w:hAnsi="Calibri"/>
          <w:color w:val="525866"/>
          <w:sz w:val="22"/>
        </w:rPr>
        <w:t xml:space="preserve"> — homeowners underwriting margins remain excellent across the industry, property cat losses were modest, and the voluntary homeowners market continues to harden (supporting AIZ’s lender-placed placement rate thesis). The one watch item is </w:t>
      </w:r>
      <w:r>
        <w:rPr>
          <w:rFonts w:ascii="Calibri" w:hAnsi="Calibri"/>
          <w:b/>
          <w:color w:val="525866"/>
          <w:sz w:val="22"/>
        </w:rPr>
        <w:t>softening large-account property pricing</w:t>
      </w:r>
      <w:r>
        <w:rPr>
          <w:rFonts w:ascii="Calibri" w:hAnsi="Calibri"/>
          <w:color w:val="525866"/>
          <w:sz w:val="22"/>
        </w:rPr>
        <w:t xml:space="preserve"> (down 25–40% in some cat-exposed segments per RYAN/CB), which is a read-through to the voluntary market hardening pace that drives AIZ’s lender-placed placement rates.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Travelers (TRV) — Q2 2026 Earnings Call (July 17, 2026)</w:t>
      </w:r>
    </w:p>
    <w:p>
      <w:r>
        <w:rPr>
          <w:rFonts w:ascii="Calibri" w:hAnsi="Calibri"/>
          <w:b/>
          <w:color w:val="525866"/>
          <w:sz w:val="22"/>
        </w:rPr>
        <w:t xml:space="preserve">Relevance to AIZ: </w:t>
      </w:r>
      <w:r>
        <w:rPr>
          <w:rFonts w:ascii="Calibri" w:hAnsi="Calibri"/>
          <w:color w:val="525866"/>
          <w:sz w:val="22"/>
        </w:rPr>
        <w:t>TRV is the most direct read-through for AIZ’s Housing segment — TRV’s homeowners results signal the state of the voluntary market that drives lender-placed placement rates.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Homeowners combined ratio of 76.7% in Q2 2026</w:t>
      </w:r>
      <w:r>
        <w:rPr>
          <w:rFonts w:ascii="Calibri" w:hAnsi="Calibri"/>
          <w:color w:val="525866"/>
          <w:sz w:val="22"/>
        </w:rPr>
        <w:t xml:space="preserve"> (underlying 70.1%), reflecting modest cat losses and very strong underlying underwriting income. Retention strong at 85%; renewal premium change of 6.6% moderating as intended given improved profitability. </w:t>
      </w:r>
      <w:r>
        <w:rPr>
          <w:rFonts w:ascii="Calibri" w:hAnsi="Calibri"/>
          <w:b/>
          <w:i/>
          <w:color w:val="525866"/>
          <w:sz w:val="22"/>
        </w:rPr>
        <w:t>AIZ read-through: Continued homeowners profitability improvement at TRV suggests the voluntary market remains tight, supporting AIZ’s lender-placed placement rate thesis — as voluntary carriers remain selective, more loans flow into lender-placed coverage.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New business in homeowners increased year-over-year</w:t>
      </w:r>
      <w:r>
        <w:rPr>
          <w:rFonts w:ascii="Calibri" w:hAnsi="Calibri"/>
          <w:color w:val="525866"/>
          <w:sz w:val="22"/>
        </w:rPr>
        <w:t xml:space="preserve"> as TRV broadened efforts to deploy property capacity. TRV is actively expanding homeowners capacity, which could modestly slow the pace of voluntary market dislocation. </w:t>
      </w:r>
      <w:r>
        <w:rPr>
          <w:rFonts w:ascii="Calibri" w:hAnsi="Calibri"/>
          <w:b/>
          <w:i/>
          <w:color w:val="525866"/>
          <w:sz w:val="22"/>
        </w:rPr>
        <w:t>AIZ read-through: A mild negative at the margin — if voluntary capacity returns faster than expected, placement rate growth could moderate in H2 2026.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Overall combined ratio improved to 83.6%</w:t>
      </w:r>
      <w:r>
        <w:rPr>
          <w:rFonts w:ascii="Calibri" w:hAnsi="Calibri"/>
          <w:color w:val="525866"/>
          <w:sz w:val="22"/>
        </w:rPr>
        <w:t xml:space="preserve"> (underlying 84.1%), a second-quarter record in Business Insurance. Cat losses after-tax were “a little more than $400M” for the quarter. </w:t>
      </w:r>
      <w:r>
        <w:rPr>
          <w:rFonts w:ascii="Calibri" w:hAnsi="Calibri"/>
          <w:b/>
          <w:i/>
          <w:color w:val="525866"/>
          <w:sz w:val="22"/>
        </w:rPr>
        <w:t>AIZ read-through: Moderate industry cat losses in Q2 are a positive signal for AIZ’s Housing combined ratio — if TRV’s cat load was manageable, AIZ’s $185M full-year cat assumption may prove conservative.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Pricing environment described as “very stable” ex-national property</w:t>
      </w:r>
      <w:r>
        <w:rPr>
          <w:rFonts w:ascii="Calibri" w:hAnsi="Calibri"/>
          <w:color w:val="525866"/>
          <w:sz w:val="22"/>
        </w:rPr>
        <w:t xml:space="preserve">; personal auto renewal premium change flat as TRV incorporates improved profitability into pricing. </w:t>
      </w:r>
      <w:r>
        <w:rPr>
          <w:rFonts w:ascii="Calibri" w:hAnsi="Calibri"/>
          <w:b/>
          <w:i/>
          <w:color w:val="525866"/>
          <w:sz w:val="22"/>
        </w:rPr>
        <w:t>AIZ read-through: Stable pricing environment supports AIZ’s Global Auto loss improvement thesis — if industry auto loss trends are benign, AIZ’s rate actions should continue to earn through.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The Hartford (HIG) — Q2 2026 Earnings Call (July 24, 2026)</w:t>
      </w:r>
    </w:p>
    <w:p>
      <w:r>
        <w:rPr>
          <w:rFonts w:ascii="Calibri" w:hAnsi="Calibri"/>
          <w:b/>
          <w:color w:val="525866"/>
          <w:sz w:val="22"/>
        </w:rPr>
        <w:t xml:space="preserve">Relevance to AIZ: </w:t>
      </w:r>
      <w:r>
        <w:rPr>
          <w:rFonts w:ascii="Calibri" w:hAnsi="Calibri"/>
          <w:color w:val="525866"/>
          <w:sz w:val="22"/>
        </w:rPr>
        <w:t>HIG’s homeowners and commercial auto commentary is a read-through for AIZ’s Housing and Global Auto segments.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Home results remained strong with low double-digit pricing (+10.4% renewal written pricing)</w:t>
      </w:r>
      <w:r>
        <w:rPr>
          <w:rFonts w:ascii="Calibri" w:hAnsi="Calibri"/>
          <w:color w:val="525866"/>
          <w:sz w:val="22"/>
        </w:rPr>
        <w:t xml:space="preserve"> and relatively stable policy count retention. HIG described having a competitive home product as “very, very important” for the agency channel. </w:t>
      </w:r>
      <w:r>
        <w:rPr>
          <w:rFonts w:ascii="Calibri" w:hAnsi="Calibri"/>
          <w:b/>
          <w:i/>
          <w:color w:val="525866"/>
          <w:sz w:val="22"/>
        </w:rPr>
        <w:t>AIZ read-through: Continued homeowners pricing strength at HIG confirms the voluntary market remains hard, a direct positive for AIZ’s lender-placed placement rate trajectory.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Commercial auto liability reserves increased</w:t>
      </w:r>
      <w:r>
        <w:rPr>
          <w:rFonts w:ascii="Calibri" w:hAnsi="Calibri"/>
          <w:color w:val="525866"/>
          <w:sz w:val="22"/>
        </w:rPr>
        <w:t xml:space="preserve"> due to adverse loss development in accident years 2023–2024, driven by higher severity, increasing attorney representation, and time-limit demands. HIG noted “higher frequency of large losses” in commercial auto. </w:t>
      </w:r>
      <w:r>
        <w:rPr>
          <w:rFonts w:ascii="Calibri" w:hAnsi="Calibri"/>
          <w:b/>
          <w:i/>
          <w:color w:val="525866"/>
          <w:sz w:val="22"/>
        </w:rPr>
        <w:t>AIZ read-through: A mild negative watch item for AIZ’s Global Auto segment — if commercial auto severity trends are worsening industry-wide, AIZ’s loss improvement trajectory could face headwinds, though AIZ’s vehicle service contract product is structurally different from commercial auto liability.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Personal insurance underlying combined ratio improved 1.7 points YoY</w:t>
      </w:r>
      <w:r>
        <w:rPr>
          <w:rFonts w:ascii="Calibri" w:hAnsi="Calibri"/>
          <w:color w:val="525866"/>
          <w:sz w:val="22"/>
        </w:rPr>
        <w:t xml:space="preserve"> to 86.3%, with improvement in both auto and home loss ratios. Earned pricing continues to exceed loss trend in personal auto. </w:t>
      </w:r>
      <w:r>
        <w:rPr>
          <w:rFonts w:ascii="Calibri" w:hAnsi="Calibri"/>
          <w:b/>
          <w:i/>
          <w:color w:val="525866"/>
          <w:sz w:val="22"/>
        </w:rPr>
        <w:t>AIZ read-through: Broadly positive for the auto insurance environment; supports AIZ’s Global Auto recovery narrative.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Net investment income of $800M, up 22% YoY</w:t>
      </w:r>
      <w:r>
        <w:rPr>
          <w:rFonts w:ascii="Calibri" w:hAnsi="Calibri"/>
          <w:color w:val="525866"/>
          <w:sz w:val="22"/>
        </w:rPr>
        <w:t xml:space="preserve">, driven by higher income from limited partnerships and alternative investments; annualized portfolio yield 4.7%. </w:t>
      </w:r>
      <w:r>
        <w:rPr>
          <w:rFonts w:ascii="Calibri" w:hAnsi="Calibri"/>
          <w:b/>
          <w:i/>
          <w:color w:val="525866"/>
          <w:sz w:val="22"/>
        </w:rPr>
        <w:t>AIZ read-through: Strong investment income tailwind is consistent with AIZ’s Global Auto growth driver of “higher investment income” cited in Q1 guidance.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Chubb (CB) — Q2 2026 Earnings Call (July 22, 2026)</w:t>
      </w:r>
    </w:p>
    <w:p>
      <w:r>
        <w:rPr>
          <w:rFonts w:ascii="Calibri" w:hAnsi="Calibri"/>
          <w:b/>
          <w:color w:val="525866"/>
          <w:sz w:val="22"/>
        </w:rPr>
        <w:t xml:space="preserve">Relevance to AIZ: </w:t>
      </w:r>
      <w:r>
        <w:rPr>
          <w:rFonts w:ascii="Calibri" w:hAnsi="Calibri"/>
          <w:color w:val="525866"/>
          <w:sz w:val="22"/>
        </w:rPr>
        <w:t>CB’s commentary on property pricing, cat losses, and the voluntary homeowners market is a read-through for AIZ’s Housing segment and lender-placed placement rate dynamics.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Property pricing down ~6% overall (rates down 10.5%, exposure up 5.2%)</w:t>
      </w:r>
      <w:r>
        <w:rPr>
          <w:rFonts w:ascii="Calibri" w:hAnsi="Calibri"/>
          <w:color w:val="525866"/>
          <w:sz w:val="22"/>
        </w:rPr>
        <w:t xml:space="preserve">; large account/shared-and-layered property pricing down 12% for business CB wrote, and down ~40% for business CB declined. Middle market and small commercial property pricing up 2.3%. </w:t>
      </w:r>
      <w:r>
        <w:rPr>
          <w:rFonts w:ascii="Calibri" w:hAnsi="Calibri"/>
          <w:b/>
          <w:i/>
          <w:color w:val="525866"/>
          <w:sz w:val="22"/>
        </w:rPr>
        <w:t>AIZ read-through: The bifurcation between large-account property softening and small/middle market stability is a nuanced positive for AIZ — lender-placed insurance is driven by the residential/small-balance mortgage market, which is not experiencing the same capacity surge as large commercial property.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Pre-tax cat losses of $475M in Q2 2026</w:t>
      </w:r>
      <w:r>
        <w:rPr>
          <w:rFonts w:ascii="Calibri" w:hAnsi="Calibri"/>
          <w:color w:val="525866"/>
          <w:sz w:val="22"/>
        </w:rPr>
        <w:t xml:space="preserve">, principally from weather-related events in the U.S. CB’s combined ratio was 83.8% on a current accident year basis excluding cats. </w:t>
      </w:r>
      <w:r>
        <w:rPr>
          <w:rFonts w:ascii="Calibri" w:hAnsi="Calibri"/>
          <w:b/>
          <w:i/>
          <w:color w:val="525866"/>
          <w:sz w:val="22"/>
        </w:rPr>
        <w:t>AIZ read-through: CB’s cat losses were concentrated in large commercial property — AIZ’s residential lender-placed book has different geographic and peril exposure, but the Q2 cat environment was not benign, suggesting AIZ’s $185M full-year cat assumption may be tested.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Soft market conditions spreading from property to casualty</w:t>
      </w:r>
      <w:r>
        <w:rPr>
          <w:rFonts w:ascii="Calibri" w:hAnsi="Calibri"/>
          <w:color w:val="525866"/>
          <w:sz w:val="22"/>
        </w:rPr>
        <w:t xml:space="preserve">; CEO Evan Greenberg warned that “pricing in numerous areas of casualty are failing to keep pace with loss costs” and that U.S. casualty loss costs are rising at 6–7% for primary and 9–12% for excess annually. </w:t>
      </w:r>
      <w:r>
        <w:rPr>
          <w:rFonts w:ascii="Calibri" w:hAnsi="Calibri"/>
          <w:b/>
          <w:i/>
          <w:color w:val="525866"/>
          <w:sz w:val="22"/>
        </w:rPr>
        <w:t>AIZ read-through: Not directly applicable to AIZ’s specialty protection model, but signals a broader insurance market cycle shift that could affect reinsurance costs and industry reserve adequacy.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Record adjusted net investment income of $1.88B, up 11%</w:t>
      </w:r>
      <w:r>
        <w:rPr>
          <w:rFonts w:ascii="Calibri" w:hAnsi="Calibri"/>
          <w:color w:val="525866"/>
          <w:sz w:val="22"/>
        </w:rPr>
        <w:t xml:space="preserve">; fixed income portfolio yield 5.1%, new money rate 5.5%. </w:t>
      </w:r>
      <w:r>
        <w:rPr>
          <w:rFonts w:ascii="Calibri" w:hAnsi="Calibri"/>
          <w:b/>
          <w:i/>
          <w:color w:val="525866"/>
          <w:sz w:val="22"/>
        </w:rPr>
        <w:t>AIZ read-through: Consistent with AIZ’s investment income tailwind narrative for Global Auto; higher-for-longer rates benefit AIZ’s fixed income reinvestment.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Ryan Specialty (RYAN) — Q2 2026 Earnings Call (July 30, 2026)</w:t>
      </w:r>
    </w:p>
    <w:p>
      <w:r>
        <w:rPr>
          <w:rFonts w:ascii="Calibri" w:hAnsi="Calibri"/>
          <w:b/>
          <w:color w:val="525866"/>
          <w:sz w:val="22"/>
        </w:rPr>
        <w:t xml:space="preserve">Relevance to AIZ: </w:t>
      </w:r>
      <w:r>
        <w:rPr>
          <w:rFonts w:ascii="Calibri" w:hAnsi="Calibri"/>
          <w:color w:val="525866"/>
          <w:sz w:val="22"/>
        </w:rPr>
        <w:t>RYAN’s commentary on specialty insurance market conditions and property pricing dynamics is a read-through for the voluntary homeowners market hardening that drives AIZ’s lender-placed placement rates.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Property pricing in cat-exposed and large accounts declined materially — down 25–35%</w:t>
      </w:r>
      <w:r>
        <w:rPr>
          <w:rFonts w:ascii="Calibri" w:hAnsi="Calibri"/>
          <w:color w:val="525866"/>
          <w:sz w:val="22"/>
        </w:rPr>
        <w:t xml:space="preserve"> — as capacity continued to build and competition intensified, including from the admitted market. RYAN’s property book declined only modestly, better than expectations. </w:t>
      </w:r>
      <w:r>
        <w:rPr>
          <w:rFonts w:ascii="Calibri" w:hAnsi="Calibri"/>
          <w:b/>
          <w:i/>
          <w:color w:val="525866"/>
          <w:sz w:val="22"/>
        </w:rPr>
        <w:t>AIZ read-through: Large-account cat property softening is a watch item for the pace of voluntary homeowners market hardening — if admitted carriers re-enter the residential market aggressively, lender-placed placement rates could face pressure in 2027.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Casualty market “remains generally firm” but bifurcated</w:t>
      </w:r>
      <w:r>
        <w:rPr>
          <w:rFonts w:ascii="Calibri" w:hAnsi="Calibri"/>
          <w:color w:val="525866"/>
          <w:sz w:val="22"/>
        </w:rPr>
        <w:t xml:space="preserve">; habitational (multi-family residential) continues to firm. RYAN noted “ferocious competition from additional surplus and additional capacity” in non-admitted property. </w:t>
      </w:r>
      <w:r>
        <w:rPr>
          <w:rFonts w:ascii="Calibri" w:hAnsi="Calibri"/>
          <w:b/>
          <w:i/>
          <w:color w:val="525866"/>
          <w:sz w:val="22"/>
        </w:rPr>
        <w:t>AIZ read-through: Habitational firming is a positive read-through for AIZ’s renters insurance segment, where AIZ serves 6 of the top 10 property management companies.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RYAN management noted “we remain optimistic that we could be a storm away from reaffirming” the hard market</w:t>
      </w:r>
      <w:r>
        <w:rPr>
          <w:rFonts w:ascii="Calibri" w:hAnsi="Calibri"/>
          <w:color w:val="525866"/>
          <w:sz w:val="22"/>
        </w:rPr>
        <w:t xml:space="preserve"> — suggesting the property market softening could reverse quickly with a significant cat event. Wildfire season cited as a potential catalyst. </w:t>
      </w:r>
      <w:r>
        <w:rPr>
          <w:rFonts w:ascii="Calibri" w:hAnsi="Calibri"/>
          <w:b/>
          <w:i/>
          <w:color w:val="525866"/>
          <w:sz w:val="22"/>
        </w:rPr>
        <w:t>AIZ read-through: A major H2 2026 cat event could re-harden the voluntary market and accelerate AIZ’s lender-placed placement rate growth, but would also increase AIZ’s own cat losses.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Delegated underwriting authority (DUA) continues to gain commercial market share</w:t>
      </w:r>
      <w:r>
        <w:rPr>
          <w:rFonts w:ascii="Calibri" w:hAnsi="Calibri"/>
          <w:color w:val="525866"/>
          <w:sz w:val="22"/>
        </w:rPr>
        <w:t xml:space="preserve">, growing from 9% in 2012 to 20% in 2025. Non-admitted market estimated at 25% of overall commercial market. </w:t>
      </w:r>
      <w:r>
        <w:rPr>
          <w:rFonts w:ascii="Calibri" w:hAnsi="Calibri"/>
          <w:b/>
          <w:i/>
          <w:color w:val="525866"/>
          <w:sz w:val="22"/>
        </w:rPr>
        <w:t>AIZ read-through: Structural growth in specialty/non-admitted channels is a long-term tailwind for AIZ’s B2B2C specialty protection model.</w:t>
      </w:r>
    </w:p>
    <w:p>
      <w:r>
        <w:rPr>
          <w:rFonts w:ascii="Calibri" w:hAnsi="Calibri"/>
          <w:i/>
          <w:color w:val="525866"/>
          <w:sz w:val="22"/>
        </w:rPr>
        <w:t>Sources: TRV Q2 2026 Earnings Call Transcript (July 17, 2026); HIG Q2 2026 Earnings Call Transcript (July 24, 2026); CB Q2 2026 Earnings Call Transcript (July 22, 2026); RYAN Q2 2026 Earnings Call Transcript (July 30, 2026).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8. Insider Transaction Activity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Insider activity since Q1 earnings is dominated by </w:t>
      </w:r>
      <w:r>
        <w:rPr>
          <w:rFonts w:ascii="Calibri" w:hAnsi="Calibri"/>
          <w:b/>
          <w:color w:val="525866"/>
          <w:sz w:val="22"/>
        </w:rPr>
        <w:t>routine director equity grants and two 10b5-1 plan sales</w:t>
      </w:r>
      <w:r>
        <w:rPr>
          <w:rFonts w:ascii="Calibri" w:hAnsi="Calibri"/>
          <w:color w:val="525866"/>
          <w:sz w:val="22"/>
        </w:rPr>
        <w:t xml:space="preserve"> — the CFO’s 10b5-1 sale of 25,000 shares (~$6.4M) is the largest transaction but is pre-planned and not a discretionary signal. No open-market buys or unusual discretionary selling patterns stand out.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Name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Title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Transaction Type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Shares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Transaction Date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Note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Meier, Keith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EVP, Chief Financial Officer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10b5-1 Planned Sale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25,000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May 15,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Largest transaction; pre-planned 10b5-1 sale, not discretionary. Retains 18,552 shares post-sale.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Lonergan, Robert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EVP, CSTO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10b5-1 Planned Sale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7,000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June 22,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Pre-planned 10b5-1 sale. Retains 27,374 shares post-sale.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Rosenblum, Jay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EVP, Chief Legal Officer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Open Market Sale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2,000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May 14,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Discretionary sale; relatively small in size. Retains 12,764 shares post-sale.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DiRienzo, Dimitry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SVP, CAO, Controller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Open Market Sale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2,000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May 26,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Discretionary sale; small in size. Retains 2,741 shares post-sale.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Basu, Rajiv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Director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Award (Equity Grant)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668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May 22,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Routine annual director equity grant; not a market signal.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Blake, Lynn S.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Director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Award (Equity Grant)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668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May 22,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Routine annual director equity grant; not a market signal.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Carter, J. Braxton II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Director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Award (Equity Grant)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668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May 22,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Routine annual director equity grant; not a market signal.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Edelman, Harriet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Director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Award (Equity Grant)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668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May 22,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Routine annual director equity grant; not a market signal.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Granat, Sari Beth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Director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Award (Equity Grant)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668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May 22,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Routine annual director equity grant; not a market signal.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Redzic, Ognjen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Director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Award (Equity Grant)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668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May 22,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Routine annual director equity grant; not a market signal.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Reilly, Paul J.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Director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Award (Equity Grant)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668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May 22,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Routine annual director equity grant; not a market signal.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Rosen, Elaine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Director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Award (Equity Grant)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668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May 22,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Routine annual director equity grant; not a market signal.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Warren, Kevin M.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Director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Award (Equity Grant)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668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May 22,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Routine annual director equity grant; not a market signal.</w:t>
            </w:r>
          </w:p>
        </w:tc>
      </w:tr>
    </w:tbl>
    <w:p>
      <w:r>
        <w:rPr>
          <w:rFonts w:ascii="Calibri" w:hAnsi="Calibri"/>
          <w:b/>
          <w:color w:val="525866"/>
          <w:sz w:val="22"/>
        </w:rPr>
        <w:t xml:space="preserve">Overall assessment: </w:t>
      </w:r>
      <w:r>
        <w:rPr>
          <w:rFonts w:ascii="Calibri" w:hAnsi="Calibri"/>
          <w:color w:val="525866"/>
          <w:sz w:val="22"/>
        </w:rPr>
        <w:t>No open-market buys from executives or directors since Q1 earnings. The two discretionary sales (Rosenblum 2,000 shares; DiRienzo 2,000 shares) are small relative to retained positions and not unusual for post-earnings windows. The CFO’s 10b5-1 sale of 25,000 shares is the largest transaction but is pre-planned and obligation-driven. The absence of any open-market buying is notable given the stock’s strong run, but is not a negative signal given the 10b5-1 plan structure and the company’s active buyback program ($300–$350M authorized for 2026).</w:t>
      </w:r>
    </w:p>
    <w:p>
      <w:r>
        <w:rPr>
          <w:rFonts w:ascii="Calibri" w:hAnsi="Calibri"/>
          <w:i/>
          <w:color w:val="525866"/>
          <w:sz w:val="22"/>
        </w:rPr>
        <w:t>Source: Insider Transaction Data (SEC Form 4 filings, May–June 2026).</w:t>
      </w:r>
    </w:p>
    <w:sectPr w:rsidR="00FC693F" w:rsidRPr="0006063C" w:rsidSect="00034616">
      <w:headerReference w:type="default" r:id="rId10"/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tabs>
        <w:tab w:pos="8640" w:val="right"/>
      </w:tabs>
      <w:spacing w:before="0" w:after="0" w:line="240" w:lineRule="auto"/>
      <w:jc w:val="left"/>
    </w:pPr>
    <w:r>
      <w:rPr>
        <w:rFonts w:ascii="Calibri" w:hAnsi="Calibri"/>
        <w:i/>
        <w:color w:val="525866"/>
        <w:sz w:val="20"/>
      </w:rPr>
      <w:t>We do the work, you make the call</w:t>
    </w:r>
    <w:r>
      <w:tab/>
    </w:r>
    <w:r>
      <w:rPr>
        <w:rFonts w:ascii="Calibri" w:hAnsi="Calibri"/>
        <w:i/>
        <w:color w:val="FB9120"/>
        <w:sz w:val="20"/>
      </w:rPr>
      <w:t>app.implied.com/trial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tabs>
        <w:tab w:pos="8640" w:val="right"/>
      </w:tabs>
      <w:spacing w:before="0" w:after="0" w:line="240" w:lineRule="auto"/>
      <w:jc w:val="left"/>
    </w:pPr>
    <w:r>
      <w:drawing>
        <wp:inline xmlns:a="http://schemas.openxmlformats.org/drawingml/2006/main" xmlns:pic="http://schemas.openxmlformats.org/drawingml/2006/picture">
          <wp:extent cx="5486400" cy="27432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pliedPromotionalHead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27432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