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Assurant, Inc. (AIZ)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Assurant, Inc.</w:t>
            </w:r>
          </w:p>
        </w:tc>
      </w:tr>
      <w:tr>
        <w:tc>
          <w:tcPr>
            <w:tcW w:type="dxa" w:w="4320"/>
          </w:tcPr>
          <w:p>
            <w:r>
              <w:rPr>
                <w:rFonts w:ascii="Calibri" w:hAnsi="Calibri"/>
                <w:b/>
                <w:sz w:val="22"/>
              </w:rPr>
              <w:t>Ticker</w:t>
            </w:r>
          </w:p>
        </w:tc>
        <w:tc>
          <w:tcPr>
            <w:tcW w:type="dxa" w:w="4320"/>
          </w:tcPr>
          <w:p>
            <w:r>
              <w:rPr>
                <w:rFonts w:ascii="Calibri" w:hAnsi="Calibri"/>
                <w:sz w:val="22"/>
              </w:rPr>
              <w:t>AIZ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4, 2026 (after market close); Conference Call August 5, 2026 at 8:00 a.m. ET</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r>
        <w:tc>
          <w:tcPr>
            <w:tcW w:type="dxa" w:w="4320"/>
          </w:tcPr>
          <w:p>
            <w:r>
              <w:rPr>
                <w:rFonts w:ascii="Calibri" w:hAnsi="Calibri"/>
                <w:b/>
                <w:sz w:val="22"/>
              </w:rPr>
              <w:t>Sector ETF (Chart)</w:t>
            </w:r>
          </w:p>
        </w:tc>
        <w:tc>
          <w:tcPr>
            <w:tcW w:type="dxa" w:w="4320"/>
          </w:tcPr>
          <w:p>
            <w:r>
              <w:rPr>
                <w:rFonts w:ascii="Calibri" w:hAnsi="Calibri"/>
                <w:sz w:val="22"/>
              </w:rPr>
              <w:t>KIE (SPDR S&amp;P Insurance ETF)</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 consensus is a manageable bar after Q1's record beat, and the biggest swing factor is whether Global Lifestyle can sustain its 20%+ EBITDA growth trajectory while Global Housing holds its combined ratio in the low-80s amid a benign-but-moderating cat environment.</w:t>
      </w:r>
    </w:p>
    <w:p>
      <w:r>
        <w:rPr>
          <w:rFonts w:ascii="Calibri" w:hAnsi="Calibri"/>
          <w:b/>
          <w:color w:val="525866"/>
          <w:sz w:val="22"/>
        </w:rPr>
        <w:t xml:space="preserve">Heading into Q2 2026, Assurant's setup is broadly positive but nuanced. </w:t>
      </w:r>
      <w:r>
        <w:rPr>
          <w:rFonts w:ascii="Calibri" w:hAnsi="Calibri"/>
          <w:color w:val="525866"/>
          <w:sz w:val="22"/>
        </w:rPr>
        <w:t>Consensus Adjusted EPS (ex-cats) sits at ~$5.18, implying roughly flat sequential growth from Q1's $5.95 ex-cat print — a bar that looks achievable given the momentum in Connected Living subscriber additions (nearly 69M devices globally) and continued Global Auto loss improvement. Management raised full-year guidance to low-single-digit EBITDA growth (high-single-digit ex-prior-year reserve development) on the Q1 call, and estimate revisions have tracked that guidance closely, with the 2026FY consensus moving from ~$21.05 to ~$21.09 since the May 5 print — a modest but directionally positive drift. The stock has re-rated sharply (+19% since Q1 earnings vs. KIE +14%), suggesting the market has already priced in continued execution, which raises the bar for a positive surprise. The key wildcard is catastrophe experience: Q2 is peak hurricane season, and while peers (TRV, WRB, HIG) all reported benign cat quarters, any late-quarter weather event or adverse non-cat property loss development in Global Housing could pressure the combined ratio above the guided low-to-mid-80s range and disappoint on the ex-cat EPS line.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the street is not pricing in another record quarter, but the Q1 beat magnitude was large enough that even in-line results should be well-received. </w:t>
      </w:r>
      <w:r>
        <w:rPr>
          <w:rFonts w:ascii="Calibri" w:hAnsi="Calibri"/>
          <w:color w:val="525866"/>
          <w:sz w:val="22"/>
        </w:rPr>
        <w:t>Global Lifestyle EBITDA is the bigger swing factor; Global Housing combined ratio is the key risk variable.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Adj. EPS – Diluted, Operating (ex-cats) ($)</w:t>
            </w:r>
          </w:p>
        </w:tc>
        <w:tc>
          <w:tcPr>
            <w:tcW w:type="dxa" w:w="1234"/>
          </w:tcPr>
          <w:p>
            <w:r>
              <w:rPr>
                <w:rFonts w:ascii="Calibri" w:hAnsi="Calibri"/>
                <w:sz w:val="22"/>
              </w:rPr>
              <w:t>5.95</w:t>
            </w:r>
          </w:p>
        </w:tc>
        <w:tc>
          <w:tcPr>
            <w:tcW w:type="dxa" w:w="1234"/>
          </w:tcPr>
          <w:p>
            <w:r>
              <w:rPr>
                <w:rFonts w:ascii="Calibri" w:hAnsi="Calibri"/>
                <w:sz w:val="22"/>
              </w:rPr>
              <w:t>5.10</w:t>
            </w:r>
          </w:p>
        </w:tc>
        <w:tc>
          <w:tcPr>
            <w:tcW w:type="dxa" w:w="1234"/>
          </w:tcPr>
          <w:p>
            <w:r>
              <w:rPr>
                <w:rFonts w:ascii="Calibri" w:hAnsi="Calibri"/>
                <w:sz w:val="22"/>
              </w:rPr>
              <w:t>5.18</w:t>
            </w:r>
          </w:p>
        </w:tc>
        <w:tc>
          <w:tcPr>
            <w:tcW w:type="dxa" w:w="1234"/>
          </w:tcPr>
          <w:p>
            <w:r>
              <w:rPr>
                <w:rFonts w:ascii="Calibri" w:hAnsi="Calibri"/>
                <w:sz w:val="22"/>
              </w:rPr>
              <w:t>+1.6% YoY</w:t>
            </w:r>
          </w:p>
        </w:tc>
        <w:tc>
          <w:tcPr>
            <w:tcW w:type="dxa" w:w="1234"/>
          </w:tcPr>
          <w:p>
            <w:r>
              <w:rPr>
                <w:rFonts w:ascii="Calibri" w:hAnsi="Calibri"/>
                <w:sz w:val="22"/>
              </w:rPr>
              <w:t>Low single-digit growth vs. $22.81 in FY2025 (i.e., ~$23.50–24.00 implied)</w:t>
            </w:r>
          </w:p>
        </w:tc>
        <w:tc>
          <w:tcPr>
            <w:tcW w:type="dxa" w:w="1234"/>
          </w:tcPr>
          <w:p>
            <w:r>
              <w:rPr>
                <w:rFonts w:ascii="Calibri" w:hAnsi="Calibri"/>
                <w:sz w:val="22"/>
              </w:rPr>
              <w:t>FY cons. $21.09 — below implied guidance midpoint; cushion if cats are benign</w:t>
            </w:r>
          </w:p>
        </w:tc>
      </w:tr>
      <w:tr>
        <w:tc>
          <w:tcPr>
            <w:tcW w:type="dxa" w:w="1234"/>
          </w:tcPr>
          <w:p>
            <w:r>
              <w:rPr>
                <w:rFonts w:ascii="Calibri" w:hAnsi="Calibri"/>
                <w:sz w:val="22"/>
              </w:rPr>
              <w:t>Adj. EBITDA – Global Lifestyle ($M)</w:t>
            </w:r>
          </w:p>
        </w:tc>
        <w:tc>
          <w:tcPr>
            <w:tcW w:type="dxa" w:w="1234"/>
          </w:tcPr>
          <w:p>
            <w:r>
              <w:rPr>
                <w:rFonts w:ascii="Calibri" w:hAnsi="Calibri"/>
                <w:sz w:val="22"/>
              </w:rPr>
              <w:t>$236.7M</w:t>
            </w:r>
          </w:p>
        </w:tc>
        <w:tc>
          <w:tcPr>
            <w:tcW w:type="dxa" w:w="1234"/>
          </w:tcPr>
          <w:p>
            <w:r>
              <w:rPr>
                <w:rFonts w:ascii="Calibri" w:hAnsi="Calibri"/>
                <w:sz w:val="22"/>
              </w:rPr>
              <w:t>$201.4M</w:t>
            </w:r>
          </w:p>
        </w:tc>
        <w:tc>
          <w:tcPr>
            <w:tcW w:type="dxa" w:w="1234"/>
          </w:tcPr>
          <w:p>
            <w:r>
              <w:rPr>
                <w:rFonts w:ascii="Calibri" w:hAnsi="Calibri"/>
                <w:sz w:val="22"/>
              </w:rPr>
              <w:t>$214.0M</w:t>
            </w:r>
          </w:p>
        </w:tc>
        <w:tc>
          <w:tcPr>
            <w:tcW w:type="dxa" w:w="1234"/>
          </w:tcPr>
          <w:p>
            <w:r>
              <w:rPr>
                <w:rFonts w:ascii="Calibri" w:hAnsi="Calibri"/>
                <w:sz w:val="22"/>
              </w:rPr>
              <w:t>+6.2% YoY</w:t>
            </w:r>
          </w:p>
        </w:tc>
        <w:tc>
          <w:tcPr>
            <w:tcW w:type="dxa" w:w="1234"/>
          </w:tcPr>
          <w:p>
            <w:r>
              <w:rPr>
                <w:rFonts w:ascii="Calibri" w:hAnsi="Calibri"/>
                <w:sz w:val="22"/>
              </w:rPr>
              <w:t>~10% growth for FY2026 vs. FY2025 ($795M implied ~$875M)</w:t>
            </w:r>
          </w:p>
        </w:tc>
        <w:tc>
          <w:tcPr>
            <w:tcW w:type="dxa" w:w="1234"/>
          </w:tcPr>
          <w:p>
            <w:r>
              <w:rPr>
                <w:rFonts w:ascii="Calibri" w:hAnsi="Calibri"/>
                <w:sz w:val="22"/>
              </w:rPr>
              <w:t>FY cons. $885.5M — tracking above guidance midpoint; positive</w:t>
            </w:r>
          </w:p>
        </w:tc>
      </w:tr>
      <w:tr>
        <w:tc>
          <w:tcPr>
            <w:tcW w:type="dxa" w:w="1234"/>
          </w:tcPr>
          <w:p>
            <w:r>
              <w:rPr>
                <w:rFonts w:ascii="Calibri" w:hAnsi="Calibri"/>
                <w:sz w:val="22"/>
              </w:rPr>
              <w:t>Adj. EBITDA – Global Housing ($M)</w:t>
            </w:r>
          </w:p>
        </w:tc>
        <w:tc>
          <w:tcPr>
            <w:tcW w:type="dxa" w:w="1234"/>
          </w:tcPr>
          <w:p>
            <w:r>
              <w:rPr>
                <w:rFonts w:ascii="Calibri" w:hAnsi="Calibri"/>
                <w:sz w:val="22"/>
              </w:rPr>
              <w:t>$236.7M</w:t>
            </w:r>
          </w:p>
        </w:tc>
        <w:tc>
          <w:tcPr>
            <w:tcW w:type="dxa" w:w="1234"/>
          </w:tcPr>
          <w:p>
            <w:r>
              <w:rPr>
                <w:rFonts w:ascii="Calibri" w:hAnsi="Calibri"/>
                <w:sz w:val="22"/>
              </w:rPr>
              <w:t>$214.4M</w:t>
            </w:r>
          </w:p>
        </w:tc>
        <w:tc>
          <w:tcPr>
            <w:tcW w:type="dxa" w:w="1234"/>
          </w:tcPr>
          <w:p>
            <w:r>
              <w:rPr>
                <w:rFonts w:ascii="Calibri" w:hAnsi="Calibri"/>
                <w:sz w:val="22"/>
              </w:rPr>
              <w:t>$219.5M</w:t>
            </w:r>
          </w:p>
        </w:tc>
        <w:tc>
          <w:tcPr>
            <w:tcW w:type="dxa" w:w="1234"/>
          </w:tcPr>
          <w:p>
            <w:r>
              <w:rPr>
                <w:rFonts w:ascii="Calibri" w:hAnsi="Calibri"/>
                <w:sz w:val="22"/>
              </w:rPr>
              <w:t>+2.4% YoY</w:t>
            </w:r>
          </w:p>
        </w:tc>
        <w:tc>
          <w:tcPr>
            <w:tcW w:type="dxa" w:w="1234"/>
          </w:tcPr>
          <w:p>
            <w:r>
              <w:rPr>
                <w:rFonts w:ascii="Calibri" w:hAnsi="Calibri"/>
                <w:sz w:val="22"/>
              </w:rPr>
              <w:t>Decline only modestly ex-cats vs. FY2025 ($1,002M)</w:t>
            </w:r>
          </w:p>
        </w:tc>
        <w:tc>
          <w:tcPr>
            <w:tcW w:type="dxa" w:w="1234"/>
          </w:tcPr>
          <w:p>
            <w:r>
              <w:rPr>
                <w:rFonts w:ascii="Calibri" w:hAnsi="Calibri"/>
                <w:sz w:val="22"/>
              </w:rPr>
              <w:t>FY cons. $870.2M — implies meaningful decline; conservative vs. guidance</w:t>
            </w:r>
          </w:p>
        </w:tc>
      </w:tr>
      <w:tr>
        <w:tc>
          <w:tcPr>
            <w:tcW w:type="dxa" w:w="1234"/>
          </w:tcPr>
          <w:p>
            <w:r>
              <w:rPr>
                <w:rFonts w:ascii="Calibri" w:hAnsi="Calibri"/>
                <w:sz w:val="22"/>
              </w:rPr>
              <w:t>Global Covered Mobile Devices (M)</w:t>
            </w:r>
          </w:p>
        </w:tc>
        <w:tc>
          <w:tcPr>
            <w:tcW w:type="dxa" w:w="1234"/>
          </w:tcPr>
          <w:p>
            <w:r>
              <w:rPr>
                <w:rFonts w:ascii="Calibri" w:hAnsi="Calibri"/>
                <w:sz w:val="22"/>
              </w:rPr>
              <w:t>68.6M</w:t>
            </w:r>
          </w:p>
        </w:tc>
        <w:tc>
          <w:tcPr>
            <w:tcW w:type="dxa" w:w="1234"/>
          </w:tcPr>
          <w:p>
            <w:r>
              <w:rPr>
                <w:rFonts w:ascii="Calibri" w:hAnsi="Calibri"/>
                <w:sz w:val="22"/>
              </w:rPr>
              <w:t>65.0M</w:t>
            </w:r>
          </w:p>
        </w:tc>
        <w:tc>
          <w:tcPr>
            <w:tcW w:type="dxa" w:w="1234"/>
          </w:tcPr>
          <w:p>
            <w:r>
              <w:rPr>
                <w:rFonts w:ascii="Calibri" w:hAnsi="Calibri"/>
                <w:sz w:val="22"/>
              </w:rPr>
              <w:t>69.1M</w:t>
            </w:r>
          </w:p>
        </w:tc>
        <w:tc>
          <w:tcPr>
            <w:tcW w:type="dxa" w:w="1234"/>
          </w:tcPr>
          <w:p>
            <w:r>
              <w:rPr>
                <w:rFonts w:ascii="Calibri" w:hAnsi="Calibri"/>
                <w:sz w:val="22"/>
              </w:rPr>
              <w:t>+6.3% YoY</w:t>
            </w:r>
          </w:p>
        </w:tc>
        <w:tc>
          <w:tcPr>
            <w:tcW w:type="dxa" w:w="1234"/>
          </w:tcPr>
          <w:p>
            <w:r>
              <w:rPr>
                <w:rFonts w:ascii="Calibri" w:hAnsi="Calibri"/>
                <w:sz w:val="22"/>
              </w:rPr>
              <w:t>No specific quarterly guidance; FY target ~69.8M</w:t>
            </w:r>
          </w:p>
        </w:tc>
        <w:tc>
          <w:tcPr>
            <w:tcW w:type="dxa" w:w="1234"/>
          </w:tcPr>
          <w:p>
            <w:r>
              <w:rPr>
                <w:rFonts w:ascii="Calibri" w:hAnsi="Calibri"/>
                <w:sz w:val="22"/>
              </w:rPr>
              <w:t>Tracking in line with FY trajectory</w:t>
            </w:r>
          </w:p>
        </w:tc>
      </w:tr>
      <w:tr>
        <w:tc>
          <w:tcPr>
            <w:tcW w:type="dxa" w:w="1234"/>
          </w:tcPr>
          <w:p>
            <w:r>
              <w:rPr>
                <w:rFonts w:ascii="Calibri" w:hAnsi="Calibri"/>
                <w:sz w:val="22"/>
              </w:rPr>
              <w:t>Combined Ratio – Global Housing (%)</w:t>
            </w:r>
          </w:p>
        </w:tc>
        <w:tc>
          <w:tcPr>
            <w:tcW w:type="dxa" w:w="1234"/>
          </w:tcPr>
          <w:p>
            <w:r>
              <w:rPr>
                <w:rFonts w:ascii="Calibri" w:hAnsi="Calibri"/>
                <w:sz w:val="22"/>
              </w:rPr>
              <w:t>79.6%</w:t>
            </w:r>
          </w:p>
        </w:tc>
        <w:tc>
          <w:tcPr>
            <w:tcW w:type="dxa" w:w="1234"/>
          </w:tcPr>
          <w:p>
            <w:r>
              <w:rPr>
                <w:rFonts w:ascii="Calibri" w:hAnsi="Calibri"/>
                <w:sz w:val="22"/>
              </w:rPr>
              <w:t>80.9%</w:t>
            </w:r>
          </w:p>
        </w:tc>
        <w:tc>
          <w:tcPr>
            <w:tcW w:type="dxa" w:w="1234"/>
          </w:tcPr>
          <w:p>
            <w:r>
              <w:rPr>
                <w:rFonts w:ascii="Calibri" w:hAnsi="Calibri"/>
                <w:sz w:val="22"/>
              </w:rPr>
              <w:t>82.2%</w:t>
            </w:r>
          </w:p>
        </w:tc>
        <w:tc>
          <w:tcPr>
            <w:tcW w:type="dxa" w:w="1234"/>
          </w:tcPr>
          <w:p>
            <w:r>
              <w:rPr>
                <w:rFonts w:ascii="Calibri" w:hAnsi="Calibri"/>
                <w:sz w:val="22"/>
              </w:rPr>
              <w:t>+130 bps YoY</w:t>
            </w:r>
          </w:p>
        </w:tc>
        <w:tc>
          <w:tcPr>
            <w:tcW w:type="dxa" w:w="1234"/>
          </w:tcPr>
          <w:p>
            <w:r>
              <w:rPr>
                <w:rFonts w:ascii="Calibri" w:hAnsi="Calibri"/>
                <w:sz w:val="22"/>
              </w:rPr>
              <w:t>Low-to-mid 80s for FY2026 (ex-PYD, ex-cats)</w:t>
            </w:r>
          </w:p>
        </w:tc>
        <w:tc>
          <w:tcPr>
            <w:tcW w:type="dxa" w:w="1234"/>
          </w:tcPr>
          <w:p>
            <w:r>
              <w:rPr>
                <w:rFonts w:ascii="Calibri" w:hAnsi="Calibri"/>
                <w:sz w:val="22"/>
              </w:rPr>
              <w:t>Consensus in line with guidance range</w:t>
            </w:r>
          </w:p>
        </w:tc>
      </w:tr>
    </w:tbl>
    <w:p>
      <w:r>
        <w:rPr>
          <w:rFonts w:ascii="Calibri" w:hAnsi="Calibri"/>
          <w:i/>
          <w:color w:val="525866"/>
          <w:sz w:val="22"/>
        </w:rPr>
        <w:t>Sources: Visible Alpha Consensus and Actuals Data (EPS – Diluted – Operating, Adj. EBITDA – Global Lifestyle, Adj. EBITDA – Global Housing, Global Covered Mobile Devices, Combined Ratio – Global Housing). All consensus figures as of August 3, 2026.</w:t>
      </w:r>
    </w:p>
    <w:p>
      <w:pPr>
        <w:pStyle w:val="Heading3"/>
      </w:pPr>
      <w:r>
        <w:rPr>
          <w:rFonts w:ascii="Calibri" w:hAnsi="Calibri"/>
          <w:b/>
          <w:color w:val="3B4259"/>
          <w:sz w:val="24"/>
        </w:rPr>
        <w:t>Table 2 — Beat/Miss History (Last 8 Quarters, Top 2 KPIs)</w:t>
      </w:r>
    </w:p>
    <w:p>
      <w:r>
        <w:rPr>
          <w:rFonts w:ascii="Calibri" w:hAnsi="Calibri"/>
          <w:b/>
          <w:color w:val="525866"/>
          <w:sz w:val="22"/>
        </w:rPr>
        <w:t>KPI 1: Adj. EPS – Diluted, Operating (ex-cats)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4.08</w:t>
            </w:r>
          </w:p>
        </w:tc>
        <w:tc>
          <w:tcPr>
            <w:tcW w:type="dxa" w:w="1728"/>
          </w:tcPr>
          <w:p>
            <w:r>
              <w:rPr>
                <w:rFonts w:ascii="Calibri" w:hAnsi="Calibri"/>
                <w:sz w:val="22"/>
              </w:rPr>
              <w:t>3.67</w:t>
            </w:r>
          </w:p>
        </w:tc>
        <w:tc>
          <w:tcPr>
            <w:tcW w:type="dxa" w:w="1728"/>
          </w:tcPr>
          <w:p>
            <w:r>
              <w:rPr>
                <w:rFonts w:ascii="Calibri" w:hAnsi="Calibri"/>
                <w:b/>
                <w:color w:val="30A46C"/>
                <w:sz w:val="22"/>
              </w:rPr>
              <w:t>+11.2%</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3.00</w:t>
            </w:r>
          </w:p>
        </w:tc>
        <w:tc>
          <w:tcPr>
            <w:tcW w:type="dxa" w:w="1728"/>
          </w:tcPr>
          <w:p>
            <w:r>
              <w:rPr>
                <w:rFonts w:ascii="Calibri" w:hAnsi="Calibri"/>
                <w:sz w:val="22"/>
              </w:rPr>
              <w:t>2.59</w:t>
            </w:r>
          </w:p>
        </w:tc>
        <w:tc>
          <w:tcPr>
            <w:tcW w:type="dxa" w:w="1728"/>
          </w:tcPr>
          <w:p>
            <w:r>
              <w:rPr>
                <w:rFonts w:ascii="Calibri" w:hAnsi="Calibri"/>
                <w:b/>
                <w:color w:val="30A46C"/>
                <w:sz w:val="22"/>
              </w:rPr>
              <w:t>+15.8%</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4.79</w:t>
            </w:r>
          </w:p>
        </w:tc>
        <w:tc>
          <w:tcPr>
            <w:tcW w:type="dxa" w:w="1728"/>
          </w:tcPr>
          <w:p>
            <w:r>
              <w:rPr>
                <w:rFonts w:ascii="Calibri" w:hAnsi="Calibri"/>
                <w:sz w:val="22"/>
              </w:rPr>
              <w:t>3.99</w:t>
            </w:r>
          </w:p>
        </w:tc>
        <w:tc>
          <w:tcPr>
            <w:tcW w:type="dxa" w:w="1728"/>
          </w:tcPr>
          <w:p>
            <w:r>
              <w:rPr>
                <w:rFonts w:ascii="Calibri" w:hAnsi="Calibri"/>
                <w:b/>
                <w:color w:val="30A46C"/>
                <w:sz w:val="22"/>
              </w:rPr>
              <w:t>+20.1%</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3.39</w:t>
            </w:r>
          </w:p>
        </w:tc>
        <w:tc>
          <w:tcPr>
            <w:tcW w:type="dxa" w:w="1728"/>
          </w:tcPr>
          <w:p>
            <w:r>
              <w:rPr>
                <w:rFonts w:ascii="Calibri" w:hAnsi="Calibri"/>
                <w:sz w:val="22"/>
              </w:rPr>
              <w:t>2.77</w:t>
            </w:r>
          </w:p>
        </w:tc>
        <w:tc>
          <w:tcPr>
            <w:tcW w:type="dxa" w:w="1728"/>
          </w:tcPr>
          <w:p>
            <w:r>
              <w:rPr>
                <w:rFonts w:ascii="Calibri" w:hAnsi="Calibri"/>
                <w:b/>
                <w:color w:val="30A46C"/>
                <w:sz w:val="22"/>
              </w:rPr>
              <w:t>+22.4%</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5.10</w:t>
            </w:r>
          </w:p>
        </w:tc>
        <w:tc>
          <w:tcPr>
            <w:tcW w:type="dxa" w:w="1728"/>
          </w:tcPr>
          <w:p>
            <w:r>
              <w:rPr>
                <w:rFonts w:ascii="Calibri" w:hAnsi="Calibri"/>
                <w:sz w:val="22"/>
              </w:rPr>
              <w:t>4.50</w:t>
            </w:r>
          </w:p>
        </w:tc>
        <w:tc>
          <w:tcPr>
            <w:tcW w:type="dxa" w:w="1728"/>
          </w:tcPr>
          <w:p>
            <w:r>
              <w:rPr>
                <w:rFonts w:ascii="Calibri" w:hAnsi="Calibri"/>
                <w:b/>
                <w:color w:val="30A46C"/>
                <w:sz w:val="22"/>
              </w:rPr>
              <w:t>+13.3%</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5.73</w:t>
            </w:r>
          </w:p>
        </w:tc>
        <w:tc>
          <w:tcPr>
            <w:tcW w:type="dxa" w:w="1728"/>
          </w:tcPr>
          <w:p>
            <w:r>
              <w:rPr>
                <w:rFonts w:ascii="Calibri" w:hAnsi="Calibri"/>
                <w:sz w:val="22"/>
              </w:rPr>
              <w:t>4.24</w:t>
            </w:r>
          </w:p>
        </w:tc>
        <w:tc>
          <w:tcPr>
            <w:tcW w:type="dxa" w:w="1728"/>
          </w:tcPr>
          <w:p>
            <w:r>
              <w:rPr>
                <w:rFonts w:ascii="Calibri" w:hAnsi="Calibri"/>
                <w:b/>
                <w:color w:val="30A46C"/>
                <w:sz w:val="22"/>
              </w:rPr>
              <w:t>+35.1%</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5.61</w:t>
            </w:r>
          </w:p>
        </w:tc>
        <w:tc>
          <w:tcPr>
            <w:tcW w:type="dxa" w:w="1728"/>
          </w:tcPr>
          <w:p>
            <w:r>
              <w:rPr>
                <w:rFonts w:ascii="Calibri" w:hAnsi="Calibri"/>
                <w:sz w:val="22"/>
              </w:rPr>
              <w:t>5.51</w:t>
            </w:r>
          </w:p>
        </w:tc>
        <w:tc>
          <w:tcPr>
            <w:tcW w:type="dxa" w:w="1728"/>
          </w:tcPr>
          <w:p>
            <w:r>
              <w:rPr>
                <w:rFonts w:ascii="Calibri" w:hAnsi="Calibri"/>
                <w:b/>
                <w:color w:val="30A46C"/>
                <w:sz w:val="22"/>
              </w:rPr>
              <w:t>+1.8%</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5.95</w:t>
            </w:r>
          </w:p>
        </w:tc>
        <w:tc>
          <w:tcPr>
            <w:tcW w:type="dxa" w:w="1728"/>
          </w:tcPr>
          <w:p>
            <w:r>
              <w:rPr>
                <w:rFonts w:ascii="Calibri" w:hAnsi="Calibri"/>
                <w:sz w:val="22"/>
              </w:rPr>
              <w:t>5.29</w:t>
            </w:r>
          </w:p>
        </w:tc>
        <w:tc>
          <w:tcPr>
            <w:tcW w:type="dxa" w:w="1728"/>
          </w:tcPr>
          <w:p>
            <w:r>
              <w:rPr>
                <w:rFonts w:ascii="Calibri" w:hAnsi="Calibri"/>
                <w:b/>
                <w:color w:val="30A46C"/>
                <w:sz w:val="22"/>
              </w:rPr>
              <w:t>+12.5%</w:t>
            </w:r>
          </w:p>
        </w:tc>
        <w:tc>
          <w:tcPr>
            <w:tcW w:type="dxa" w:w="1728"/>
          </w:tcPr>
          <w:p>
            <w:r>
              <w:rPr>
                <w:rFonts w:ascii="Calibri" w:hAnsi="Calibri"/>
                <w:b/>
                <w:color w:val="30A46C"/>
                <w:sz w:val="22"/>
              </w:rPr>
              <w:t>Beat</w:t>
            </w:r>
          </w:p>
        </w:tc>
      </w:tr>
    </w:tbl>
    <w:p>
      <w:r>
        <w:rPr>
          <w:rFonts w:ascii="Calibri" w:hAnsi="Calibri"/>
          <w:b/>
          <w:color w:val="525866"/>
          <w:sz w:val="22"/>
        </w:rPr>
        <w:t>KPI 2: Adj. EBITDA – Global Lifestyle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189.7</w:t>
            </w:r>
          </w:p>
        </w:tc>
        <w:tc>
          <w:tcPr>
            <w:tcW w:type="dxa" w:w="1728"/>
          </w:tcPr>
          <w:p>
            <w:r>
              <w:rPr>
                <w:rFonts w:ascii="Calibri" w:hAnsi="Calibri"/>
                <w:sz w:val="22"/>
              </w:rPr>
              <w:t>195.5</w:t>
            </w:r>
          </w:p>
        </w:tc>
        <w:tc>
          <w:tcPr>
            <w:tcW w:type="dxa" w:w="1728"/>
          </w:tcPr>
          <w:p>
            <w:r>
              <w:rPr>
                <w:rFonts w:ascii="Calibri" w:hAnsi="Calibri"/>
                <w:b/>
                <w:color w:val="E5484D"/>
                <w:sz w:val="22"/>
              </w:rPr>
              <w:t>−3.0%</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184.3</w:t>
            </w:r>
          </w:p>
        </w:tc>
        <w:tc>
          <w:tcPr>
            <w:tcW w:type="dxa" w:w="1728"/>
          </w:tcPr>
          <w:p>
            <w:r>
              <w:rPr>
                <w:rFonts w:ascii="Calibri" w:hAnsi="Calibri"/>
                <w:sz w:val="22"/>
              </w:rPr>
              <w:t>193.6</w:t>
            </w:r>
          </w:p>
        </w:tc>
        <w:tc>
          <w:tcPr>
            <w:tcW w:type="dxa" w:w="1728"/>
          </w:tcPr>
          <w:p>
            <w:r>
              <w:rPr>
                <w:rFonts w:ascii="Calibri" w:hAnsi="Calibri"/>
                <w:b/>
                <w:color w:val="E5484D"/>
                <w:sz w:val="22"/>
              </w:rPr>
              <w:t>−4.8%</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191.7</w:t>
            </w:r>
          </w:p>
        </w:tc>
        <w:tc>
          <w:tcPr>
            <w:tcW w:type="dxa" w:w="1728"/>
          </w:tcPr>
          <w:p>
            <w:r>
              <w:rPr>
                <w:rFonts w:ascii="Calibri" w:hAnsi="Calibri"/>
                <w:sz w:val="22"/>
              </w:rPr>
              <w:t>208.4</w:t>
            </w:r>
          </w:p>
        </w:tc>
        <w:tc>
          <w:tcPr>
            <w:tcW w:type="dxa" w:w="1728"/>
          </w:tcPr>
          <w:p>
            <w:r>
              <w:rPr>
                <w:rFonts w:ascii="Calibri" w:hAnsi="Calibri"/>
                <w:b/>
                <w:color w:val="E5484D"/>
                <w:sz w:val="22"/>
              </w:rPr>
              <w:t>−8.0%</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197.8</w:t>
            </w:r>
          </w:p>
        </w:tc>
        <w:tc>
          <w:tcPr>
            <w:tcW w:type="dxa" w:w="1728"/>
          </w:tcPr>
          <w:p>
            <w:r>
              <w:rPr>
                <w:rFonts w:ascii="Calibri" w:hAnsi="Calibri"/>
                <w:sz w:val="22"/>
              </w:rPr>
              <w:t>210.6</w:t>
            </w:r>
          </w:p>
        </w:tc>
        <w:tc>
          <w:tcPr>
            <w:tcW w:type="dxa" w:w="1728"/>
          </w:tcPr>
          <w:p>
            <w:r>
              <w:rPr>
                <w:rFonts w:ascii="Calibri" w:hAnsi="Calibri"/>
                <w:b/>
                <w:color w:val="E5484D"/>
                <w:sz w:val="22"/>
              </w:rPr>
              <w:t>−6.1%</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201.4</w:t>
            </w:r>
          </w:p>
        </w:tc>
        <w:tc>
          <w:tcPr>
            <w:tcW w:type="dxa" w:w="1728"/>
          </w:tcPr>
          <w:p>
            <w:r>
              <w:rPr>
                <w:rFonts w:ascii="Calibri" w:hAnsi="Calibri"/>
                <w:sz w:val="22"/>
              </w:rPr>
              <w:t>196.4</w:t>
            </w:r>
          </w:p>
        </w:tc>
        <w:tc>
          <w:tcPr>
            <w:tcW w:type="dxa" w:w="1728"/>
          </w:tcPr>
          <w:p>
            <w:r>
              <w:rPr>
                <w:rFonts w:ascii="Calibri" w:hAnsi="Calibri"/>
                <w:b/>
                <w:color w:val="30A46C"/>
                <w:sz w:val="22"/>
              </w:rPr>
              <w:t>+2.5%</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206.8</w:t>
            </w:r>
          </w:p>
        </w:tc>
        <w:tc>
          <w:tcPr>
            <w:tcW w:type="dxa" w:w="1728"/>
          </w:tcPr>
          <w:p>
            <w:r>
              <w:rPr>
                <w:rFonts w:ascii="Calibri" w:hAnsi="Calibri"/>
                <w:sz w:val="22"/>
              </w:rPr>
              <w:t>198.4</w:t>
            </w:r>
          </w:p>
        </w:tc>
        <w:tc>
          <w:tcPr>
            <w:tcW w:type="dxa" w:w="1728"/>
          </w:tcPr>
          <w:p>
            <w:r>
              <w:rPr>
                <w:rFonts w:ascii="Calibri" w:hAnsi="Calibri"/>
                <w:b/>
                <w:color w:val="30A46C"/>
                <w:sz w:val="22"/>
              </w:rPr>
              <w:t>+4.2%</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195.3</w:t>
            </w:r>
          </w:p>
        </w:tc>
        <w:tc>
          <w:tcPr>
            <w:tcW w:type="dxa" w:w="1728"/>
          </w:tcPr>
          <w:p>
            <w:r>
              <w:rPr>
                <w:rFonts w:ascii="Calibri" w:hAnsi="Calibri"/>
                <w:sz w:val="22"/>
              </w:rPr>
              <w:t>205.3</w:t>
            </w:r>
          </w:p>
        </w:tc>
        <w:tc>
          <w:tcPr>
            <w:tcW w:type="dxa" w:w="1728"/>
          </w:tcPr>
          <w:p>
            <w:r>
              <w:rPr>
                <w:rFonts w:ascii="Calibri" w:hAnsi="Calibri"/>
                <w:b/>
                <w:color w:val="E5484D"/>
                <w:sz w:val="22"/>
              </w:rPr>
              <w:t>−4.9%</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236.7</w:t>
            </w:r>
          </w:p>
        </w:tc>
        <w:tc>
          <w:tcPr>
            <w:tcW w:type="dxa" w:w="1728"/>
          </w:tcPr>
          <w:p>
            <w:r>
              <w:rPr>
                <w:rFonts w:ascii="Calibri" w:hAnsi="Calibri"/>
                <w:sz w:val="22"/>
              </w:rPr>
              <w:t>210.9</w:t>
            </w:r>
          </w:p>
        </w:tc>
        <w:tc>
          <w:tcPr>
            <w:tcW w:type="dxa" w:w="1728"/>
          </w:tcPr>
          <w:p>
            <w:r>
              <w:rPr>
                <w:rFonts w:ascii="Calibri" w:hAnsi="Calibri"/>
                <w:b/>
                <w:color w:val="30A46C"/>
                <w:sz w:val="22"/>
              </w:rPr>
              <w:t>+12.2%</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AIZ has beaten on Adj. EPS (ex-cats) in all 8 of the last 8 quarters, with an average surprise of ~16% — a remarkably consistent track record. Global Lifestyle EBITDA, however, missed in 5 of the prior 8 quarters before inflecting positively in Q2 2025; the Q1 2026 beat (+12%) was the largest in the series, suggesting the segment has genuinely turned the corner but also that the bar is now higher.</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raised full-year guidance on the Q1 call (May 5, 2026) and has not issued any subsequent revision — the initial post-Q1 guidance is the current guidance. Tone is constructive: Global Lifestyle upgraded to ~10% growth, Housing improved to “decline only modestly,” and buyback guidance raised to the high end of the initial range.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Call)</w:t>
            </w:r>
          </w:p>
        </w:tc>
        <w:tc>
          <w:tcPr>
            <w:tcW w:type="dxa" w:w="1728"/>
            <w:shd w:val="clear" w:color="auto" w:fill="3B4259"/>
          </w:tcPr>
          <w:p>
            <w:r>
              <w:rPr>
                <w:rFonts w:ascii="Calibri" w:hAnsi="Calibri"/>
                <w:b/>
                <w:color w:val="FFFFFF"/>
                <w:sz w:val="22"/>
              </w:rPr>
              <w:t>Revised Guidance (Q1 2026 Earnings, May 5, 2026)</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Adj. EBITDA (ex-cats)</w:t>
            </w:r>
          </w:p>
        </w:tc>
        <w:tc>
          <w:tcPr>
            <w:tcW w:type="dxa" w:w="1728"/>
          </w:tcPr>
          <w:p>
            <w:r>
              <w:rPr>
                <w:rFonts w:ascii="Calibri" w:hAnsi="Calibri"/>
                <w:sz w:val="22"/>
              </w:rPr>
              <w:t>Modest growth vs. $1,734M in FY2025</w:t>
            </w:r>
          </w:p>
        </w:tc>
        <w:tc>
          <w:tcPr>
            <w:tcW w:type="dxa" w:w="1728"/>
          </w:tcPr>
          <w:p>
            <w:r>
              <w:rPr>
                <w:rFonts w:ascii="Calibri" w:hAnsi="Calibri"/>
                <w:sz w:val="22"/>
              </w:rPr>
              <w:t>Low single-digit growth; high single-digit ex-PYD headwind</w:t>
            </w:r>
          </w:p>
        </w:tc>
        <w:tc>
          <w:tcPr>
            <w:tcW w:type="dxa" w:w="1728"/>
          </w:tcPr>
          <w:p>
            <w:r>
              <w:rPr>
                <w:rFonts w:ascii="Calibri" w:hAnsi="Calibri"/>
                <w:sz w:val="22"/>
              </w:rPr>
              <w:t>$1,756M (VA consensus)</w:t>
            </w:r>
          </w:p>
        </w:tc>
        <w:tc>
          <w:tcPr>
            <w:tcW w:type="dxa" w:w="1728"/>
          </w:tcPr>
          <w:p>
            <w:r>
              <w:rPr>
                <w:rFonts w:ascii="Calibri" w:hAnsi="Calibri"/>
                <w:sz w:val="22"/>
              </w:rPr>
              <w:t>↑ Raised at Q1 2026 earnings May 5, 2026; more confident on Lifestyle momentum and Housing resilience</w:t>
            </w:r>
          </w:p>
        </w:tc>
      </w:tr>
      <w:tr>
        <w:tc>
          <w:tcPr>
            <w:tcW w:type="dxa" w:w="1728"/>
          </w:tcPr>
          <w:p>
            <w:r>
              <w:rPr>
                <w:rFonts w:ascii="Calibri" w:hAnsi="Calibri"/>
                <w:sz w:val="22"/>
              </w:rPr>
              <w:t>FY2026 Adj. EPS (ex-cats)</w:t>
            </w:r>
          </w:p>
        </w:tc>
        <w:tc>
          <w:tcPr>
            <w:tcW w:type="dxa" w:w="1728"/>
          </w:tcPr>
          <w:p>
            <w:r>
              <w:rPr>
                <w:rFonts w:ascii="Calibri" w:hAnsi="Calibri"/>
                <w:sz w:val="22"/>
              </w:rPr>
              <w:t>Modest growth vs. $22.81 in FY2025</w:t>
            </w:r>
          </w:p>
        </w:tc>
        <w:tc>
          <w:tcPr>
            <w:tcW w:type="dxa" w:w="1728"/>
          </w:tcPr>
          <w:p>
            <w:r>
              <w:rPr>
                <w:rFonts w:ascii="Calibri" w:hAnsi="Calibri"/>
                <w:sz w:val="22"/>
              </w:rPr>
              <w:t>Low single-digit growth; high single-digit ex-PYD headwind</w:t>
            </w:r>
          </w:p>
        </w:tc>
        <w:tc>
          <w:tcPr>
            <w:tcW w:type="dxa" w:w="1728"/>
          </w:tcPr>
          <w:p>
            <w:r>
              <w:rPr>
                <w:rFonts w:ascii="Calibri" w:hAnsi="Calibri"/>
                <w:sz w:val="22"/>
              </w:rPr>
              <w:t>$21.09 (VA consensus)</w:t>
            </w:r>
          </w:p>
        </w:tc>
        <w:tc>
          <w:tcPr>
            <w:tcW w:type="dxa" w:w="1728"/>
          </w:tcPr>
          <w:p>
            <w:r>
              <w:rPr>
                <w:rFonts w:ascii="Calibri" w:hAnsi="Calibri"/>
                <w:sz w:val="22"/>
              </w:rPr>
              <w:t>↑ Raised at Q1 2026 earnings; consensus still below implied guidance midpoint, providing cushion</w:t>
            </w:r>
          </w:p>
        </w:tc>
      </w:tr>
      <w:tr>
        <w:tc>
          <w:tcPr>
            <w:tcW w:type="dxa" w:w="1728"/>
          </w:tcPr>
          <w:p>
            <w:r>
              <w:rPr>
                <w:rFonts w:ascii="Calibri" w:hAnsi="Calibri"/>
                <w:sz w:val="22"/>
              </w:rPr>
              <w:t>Global Lifestyle Adj. EBITDA</w:t>
            </w:r>
          </w:p>
        </w:tc>
        <w:tc>
          <w:tcPr>
            <w:tcW w:type="dxa" w:w="1728"/>
          </w:tcPr>
          <w:p>
            <w:r>
              <w:rPr>
                <w:rFonts w:ascii="Calibri" w:hAnsi="Calibri"/>
                <w:sz w:val="22"/>
              </w:rPr>
              <w:t>Growth expected for FY2026</w:t>
            </w:r>
          </w:p>
        </w:tc>
        <w:tc>
          <w:tcPr>
            <w:tcW w:type="dxa" w:w="1728"/>
          </w:tcPr>
          <w:p>
            <w:r>
              <w:rPr>
                <w:rFonts w:ascii="Calibri" w:hAnsi="Calibri"/>
                <w:sz w:val="22"/>
              </w:rPr>
              <w:t>~10% growth for FY2026 (upgraded from prior “growth”)</w:t>
            </w:r>
          </w:p>
        </w:tc>
        <w:tc>
          <w:tcPr>
            <w:tcW w:type="dxa" w:w="1728"/>
          </w:tcPr>
          <w:p>
            <w:r>
              <w:rPr>
                <w:rFonts w:ascii="Calibri" w:hAnsi="Calibri"/>
                <w:sz w:val="22"/>
              </w:rPr>
              <w:t>$885.5M (VA consensus)</w:t>
            </w:r>
          </w:p>
        </w:tc>
        <w:tc>
          <w:tcPr>
            <w:tcW w:type="dxa" w:w="1728"/>
          </w:tcPr>
          <w:p>
            <w:r>
              <w:rPr>
                <w:rFonts w:ascii="Calibri" w:hAnsi="Calibri"/>
                <w:sz w:val="22"/>
              </w:rPr>
              <w:t>↑ Raised at Q1 2026 earnings; driven by Connected Living subscriber growth and Global Auto loss improvement</w:t>
            </w:r>
          </w:p>
        </w:tc>
      </w:tr>
      <w:tr>
        <w:tc>
          <w:tcPr>
            <w:tcW w:type="dxa" w:w="1728"/>
          </w:tcPr>
          <w:p>
            <w:r>
              <w:rPr>
                <w:rFonts w:ascii="Calibri" w:hAnsi="Calibri"/>
                <w:sz w:val="22"/>
              </w:rPr>
              <w:t>Global Housing Adj. EBITDA (ex-cats)</w:t>
            </w:r>
          </w:p>
        </w:tc>
        <w:tc>
          <w:tcPr>
            <w:tcW w:type="dxa" w:w="1728"/>
          </w:tcPr>
          <w:p>
            <w:r>
              <w:rPr>
                <w:rFonts w:ascii="Calibri" w:hAnsi="Calibri"/>
                <w:sz w:val="22"/>
              </w:rPr>
              <w:t>Modest decline expected</w:t>
            </w:r>
          </w:p>
        </w:tc>
        <w:tc>
          <w:tcPr>
            <w:tcW w:type="dxa" w:w="1728"/>
          </w:tcPr>
          <w:p>
            <w:r>
              <w:rPr>
                <w:rFonts w:ascii="Calibri" w:hAnsi="Calibri"/>
                <w:sz w:val="22"/>
              </w:rPr>
              <w:t>Decline only modestly (improved from prior “modest decline”)</w:t>
            </w:r>
          </w:p>
        </w:tc>
        <w:tc>
          <w:tcPr>
            <w:tcW w:type="dxa" w:w="1728"/>
          </w:tcPr>
          <w:p>
            <w:r>
              <w:rPr>
                <w:rFonts w:ascii="Calibri" w:hAnsi="Calibri"/>
                <w:sz w:val="22"/>
              </w:rPr>
              <w:t>$870.2M (VA consensus)</w:t>
            </w:r>
          </w:p>
        </w:tc>
        <w:tc>
          <w:tcPr>
            <w:tcW w:type="dxa" w:w="1728"/>
          </w:tcPr>
          <w:p>
            <w:r>
              <w:rPr>
                <w:rFonts w:ascii="Calibri" w:hAnsi="Calibri"/>
                <w:sz w:val="22"/>
              </w:rPr>
              <w:t>↑ Improved at Q1 2026 earnings; lender-placed growth and specialty products offsetting PYD headwind</w:t>
            </w:r>
          </w:p>
        </w:tc>
      </w:tr>
      <w:tr>
        <w:tc>
          <w:tcPr>
            <w:tcW w:type="dxa" w:w="1728"/>
          </w:tcPr>
          <w:p>
            <w:r>
              <w:rPr>
                <w:rFonts w:ascii="Calibri" w:hAnsi="Calibri"/>
                <w:sz w:val="22"/>
              </w:rPr>
              <w:t>Global Housing Combined Ratio</w:t>
            </w:r>
          </w:p>
        </w:tc>
        <w:tc>
          <w:tcPr>
            <w:tcW w:type="dxa" w:w="1728"/>
          </w:tcPr>
          <w:p>
            <w:r>
              <w:rPr>
                <w:rFonts w:ascii="Calibri" w:hAnsi="Calibri"/>
                <w:sz w:val="22"/>
              </w:rPr>
              <w:t>Low-to-mid 80s (ex-PYD, ex-cats)</w:t>
            </w:r>
          </w:p>
        </w:tc>
        <w:tc>
          <w:tcPr>
            <w:tcW w:type="dxa" w:w="1728"/>
          </w:tcPr>
          <w:p>
            <w:r>
              <w:rPr>
                <w:rFonts w:ascii="Calibri" w:hAnsi="Calibri"/>
                <w:sz w:val="22"/>
              </w:rPr>
              <w:t>Low-to-mid 80s (unchanged)</w:t>
            </w:r>
          </w:p>
        </w:tc>
        <w:tc>
          <w:tcPr>
            <w:tcW w:type="dxa" w:w="1728"/>
          </w:tcPr>
          <w:p>
            <w:r>
              <w:rPr>
                <w:rFonts w:ascii="Calibri" w:hAnsi="Calibri"/>
                <w:sz w:val="22"/>
              </w:rPr>
              <w:t>82.2% for Q2 2026 (VA consensus)</w:t>
            </w:r>
          </w:p>
        </w:tc>
        <w:tc>
          <w:tcPr>
            <w:tcW w:type="dxa" w:w="1728"/>
          </w:tcPr>
          <w:p>
            <w:r>
              <w:rPr>
                <w:rFonts w:ascii="Calibri" w:hAnsi="Calibri"/>
                <w:sz w:val="22"/>
              </w:rPr>
              <w:t>Unchanged; consensus in line with guidance range</w:t>
            </w:r>
          </w:p>
        </w:tc>
      </w:tr>
      <w:tr>
        <w:tc>
          <w:tcPr>
            <w:tcW w:type="dxa" w:w="1728"/>
          </w:tcPr>
          <w:p>
            <w:r>
              <w:rPr>
                <w:rFonts w:ascii="Calibri" w:hAnsi="Calibri"/>
                <w:sz w:val="22"/>
              </w:rPr>
              <w:t>Share Repurchases (FY2026)</w:t>
            </w:r>
          </w:p>
        </w:tc>
        <w:tc>
          <w:tcPr>
            <w:tcW w:type="dxa" w:w="1728"/>
          </w:tcPr>
          <w:p>
            <w:r>
              <w:rPr>
                <w:rFonts w:ascii="Calibri" w:hAnsi="Calibri"/>
                <w:sz w:val="22"/>
              </w:rPr>
              <w:t>$250–$350M (initial range)</w:t>
            </w:r>
          </w:p>
        </w:tc>
        <w:tc>
          <w:tcPr>
            <w:tcW w:type="dxa" w:w="1728"/>
          </w:tcPr>
          <w:p>
            <w:r>
              <w:rPr>
                <w:rFonts w:ascii="Calibri" w:hAnsi="Calibri"/>
                <w:sz w:val="22"/>
              </w:rPr>
              <w:t>$300–$350M (high end of initial range)</w:t>
            </w:r>
          </w:p>
        </w:tc>
        <w:tc>
          <w:tcPr>
            <w:tcW w:type="dxa" w:w="1728"/>
          </w:tcPr>
          <w:p>
            <w:r>
              <w:rPr>
                <w:rFonts w:ascii="Calibri" w:hAnsi="Calibri"/>
                <w:sz w:val="22"/>
              </w:rPr>
              <w:t>N/A — not in VA</w:t>
            </w:r>
          </w:p>
        </w:tc>
        <w:tc>
          <w:tcPr>
            <w:tcW w:type="dxa" w:w="1728"/>
          </w:tcPr>
          <w:p>
            <w:r>
              <w:rPr>
                <w:rFonts w:ascii="Calibri" w:hAnsi="Calibri"/>
                <w:sz w:val="22"/>
              </w:rPr>
              <w:t>↑ Raised at Q1 2026 earnings; reflects confidence in cash generation and compelling valuation</w:t>
            </w:r>
          </w:p>
        </w:tc>
      </w:tr>
      <w:tr>
        <w:tc>
          <w:tcPr>
            <w:tcW w:type="dxa" w:w="1728"/>
          </w:tcPr>
          <w:p>
            <w:r>
              <w:rPr>
                <w:rFonts w:ascii="Calibri" w:hAnsi="Calibri"/>
                <w:sz w:val="22"/>
              </w:rPr>
              <w:t>Cat Reinsurance Cost (FY2026)</w:t>
            </w:r>
          </w:p>
        </w:tc>
        <w:tc>
          <w:tcPr>
            <w:tcW w:type="dxa" w:w="1728"/>
          </w:tcPr>
          <w:p>
            <w:r>
              <w:rPr>
                <w:rFonts w:ascii="Calibri" w:hAnsi="Calibri"/>
                <w:sz w:val="22"/>
              </w:rPr>
              <w:t>~$200M (prior year level)</w:t>
            </w:r>
          </w:p>
        </w:tc>
        <w:tc>
          <w:tcPr>
            <w:tcW w:type="dxa" w:w="1728"/>
          </w:tcPr>
          <w:p>
            <w:r>
              <w:rPr>
                <w:rFonts w:ascii="Calibri" w:hAnsi="Calibri"/>
                <w:sz w:val="22"/>
              </w:rPr>
              <w:t>~$180M (finalized April 1, 2026)</w:t>
            </w:r>
          </w:p>
        </w:tc>
        <w:tc>
          <w:tcPr>
            <w:tcW w:type="dxa" w:w="1728"/>
          </w:tcPr>
          <w:p>
            <w:r>
              <w:rPr>
                <w:rFonts w:ascii="Calibri" w:hAnsi="Calibri"/>
                <w:sz w:val="22"/>
              </w:rPr>
              <w:t>N/A — not in VA</w:t>
            </w:r>
          </w:p>
        </w:tc>
        <w:tc>
          <w:tcPr>
            <w:tcW w:type="dxa" w:w="1728"/>
          </w:tcPr>
          <w:p>
            <w:r>
              <w:rPr>
                <w:rFonts w:ascii="Calibri" w:hAnsi="Calibri"/>
                <w:sz w:val="22"/>
              </w:rPr>
              <w:t>↓ Favorable; lower cost reflects favorable market pricing and reduced Florida exposure</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moved modestly higher since the Q1 print, tracking management’s raised guidance. The gap between current consensus and the implied guidance midpoint represents a cushion rather than a risk — particularly on EPS, where the street appears to be conservatively embedding cat losses.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12, 2026)</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(Q4 2025 Call)</w:t>
            </w:r>
          </w:p>
        </w:tc>
        <w:tc>
          <w:tcPr>
            <w:tcW w:type="dxa" w:w="1080"/>
            <w:shd w:val="clear" w:color="auto" w:fill="3B4259"/>
          </w:tcPr>
          <w:p>
            <w:r>
              <w:rPr>
                <w:rFonts w:ascii="Calibri" w:hAnsi="Calibri"/>
                <w:b/>
                <w:color w:val="FFFFFF"/>
                <w:sz w:val="22"/>
              </w:rPr>
              <w:t>Current Guidance (Q1 2026 Call, May 5)</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Adj. EPS ex-cats – Q2 2026</w:t>
            </w:r>
          </w:p>
        </w:tc>
        <w:tc>
          <w:tcPr>
            <w:tcW w:type="dxa" w:w="1080"/>
          </w:tcPr>
          <w:p>
            <w:r>
              <w:rPr>
                <w:rFonts w:ascii="Calibri" w:hAnsi="Calibri"/>
                <w:sz w:val="22"/>
              </w:rPr>
              <w:t>$5.13</w:t>
            </w:r>
          </w:p>
        </w:tc>
        <w:tc>
          <w:tcPr>
            <w:tcW w:type="dxa" w:w="1080"/>
          </w:tcPr>
          <w:p>
            <w:r>
              <w:rPr>
                <w:rFonts w:ascii="Calibri" w:hAnsi="Calibri"/>
                <w:sz w:val="22"/>
              </w:rPr>
              <w:t>$5.18</w:t>
            </w:r>
          </w:p>
        </w:tc>
        <w:tc>
          <w:tcPr>
            <w:tcW w:type="dxa" w:w="1080"/>
          </w:tcPr>
          <w:p>
            <w:r>
              <w:rPr>
                <w:rFonts w:ascii="Calibri" w:hAnsi="Calibri"/>
                <w:sz w:val="22"/>
              </w:rPr>
              <w:t>+1.0%</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ex-cats – FY2026</w:t>
            </w:r>
          </w:p>
        </w:tc>
        <w:tc>
          <w:tcPr>
            <w:tcW w:type="dxa" w:w="1080"/>
          </w:tcPr>
          <w:p>
            <w:r>
              <w:rPr>
                <w:rFonts w:ascii="Calibri" w:hAnsi="Calibri"/>
                <w:sz w:val="22"/>
              </w:rPr>
              <w:t>$21.05</w:t>
            </w:r>
          </w:p>
        </w:tc>
        <w:tc>
          <w:tcPr>
            <w:tcW w:type="dxa" w:w="1080"/>
          </w:tcPr>
          <w:p>
            <w:r>
              <w:rPr>
                <w:rFonts w:ascii="Calibri" w:hAnsi="Calibri"/>
                <w:sz w:val="22"/>
              </w:rPr>
              <w:t>$21.09</w:t>
            </w:r>
          </w:p>
        </w:tc>
        <w:tc>
          <w:tcPr>
            <w:tcW w:type="dxa" w:w="1080"/>
          </w:tcPr>
          <w:p>
            <w:r>
              <w:rPr>
                <w:rFonts w:ascii="Calibri" w:hAnsi="Calibri"/>
                <w:sz w:val="22"/>
              </w:rPr>
              <w:t>+0.2%</w:t>
            </w:r>
          </w:p>
        </w:tc>
        <w:tc>
          <w:tcPr>
            <w:tcW w:type="dxa" w:w="1080"/>
          </w:tcPr>
          <w:p>
            <w:r>
              <w:rPr>
                <w:rFonts w:ascii="Calibri" w:hAnsi="Calibri"/>
                <w:sz w:val="22"/>
              </w:rPr>
              <w:t>Modest growth vs. $22.81 (FY2025)</w:t>
            </w:r>
          </w:p>
        </w:tc>
        <w:tc>
          <w:tcPr>
            <w:tcW w:type="dxa" w:w="1080"/>
          </w:tcPr>
          <w:p>
            <w:r>
              <w:rPr>
                <w:rFonts w:ascii="Calibri" w:hAnsi="Calibri"/>
                <w:sz w:val="22"/>
              </w:rPr>
              <w:t>Low single-digit growth vs. $22.81 (~$23.50–24.00 implied)</w:t>
            </w:r>
          </w:p>
        </w:tc>
        <w:tc>
          <w:tcPr>
            <w:tcW w:type="dxa" w:w="1080"/>
          </w:tcPr>
          <w:p>
            <w:r>
              <w:rPr>
                <w:rFonts w:ascii="Calibri" w:hAnsi="Calibri"/>
                <w:sz w:val="22"/>
              </w:rPr>
              <w:t>↑ Raised</w:t>
            </w:r>
          </w:p>
        </w:tc>
        <w:tc>
          <w:tcPr>
            <w:tcW w:type="dxa" w:w="1080"/>
          </w:tcPr>
          <w:p>
            <w:r>
              <w:rPr>
                <w:rFonts w:ascii="Calibri" w:hAnsi="Calibri"/>
                <w:sz w:val="22"/>
              </w:rPr>
              <w:t>~−10% below guidance midpoint — cushion if cats are benign</w:t>
            </w:r>
          </w:p>
        </w:tc>
      </w:tr>
      <w:tr>
        <w:tc>
          <w:tcPr>
            <w:tcW w:type="dxa" w:w="1080"/>
          </w:tcPr>
          <w:p>
            <w:r>
              <w:rPr>
                <w:rFonts w:ascii="Calibri" w:hAnsi="Calibri"/>
                <w:sz w:val="22"/>
              </w:rPr>
              <w:t>Adj. EBITDA – Global Lifestyle – Q2 2026</w:t>
            </w:r>
          </w:p>
        </w:tc>
        <w:tc>
          <w:tcPr>
            <w:tcW w:type="dxa" w:w="1080"/>
          </w:tcPr>
          <w:p>
            <w:r>
              <w:rPr>
                <w:rFonts w:ascii="Calibri" w:hAnsi="Calibri"/>
                <w:sz w:val="22"/>
              </w:rPr>
              <w:t>$214.4M</w:t>
            </w:r>
          </w:p>
        </w:tc>
        <w:tc>
          <w:tcPr>
            <w:tcW w:type="dxa" w:w="1080"/>
          </w:tcPr>
          <w:p>
            <w:r>
              <w:rPr>
                <w:rFonts w:ascii="Calibri" w:hAnsi="Calibri"/>
                <w:sz w:val="22"/>
              </w:rPr>
              <w:t>$214.0M</w:t>
            </w:r>
          </w:p>
        </w:tc>
        <w:tc>
          <w:tcPr>
            <w:tcW w:type="dxa" w:w="1080"/>
          </w:tcPr>
          <w:p>
            <w:r>
              <w:rPr>
                <w:rFonts w:ascii="Calibri" w:hAnsi="Calibri"/>
                <w:sz w:val="22"/>
              </w:rPr>
              <w:t>−0.2%</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 Global Lifestyle – FY2026</w:t>
            </w:r>
          </w:p>
        </w:tc>
        <w:tc>
          <w:tcPr>
            <w:tcW w:type="dxa" w:w="1080"/>
          </w:tcPr>
          <w:p>
            <w:r>
              <w:rPr>
                <w:rFonts w:ascii="Calibri" w:hAnsi="Calibri"/>
                <w:sz w:val="22"/>
              </w:rPr>
              <w:t>$883.4M</w:t>
            </w:r>
          </w:p>
        </w:tc>
        <w:tc>
          <w:tcPr>
            <w:tcW w:type="dxa" w:w="1080"/>
          </w:tcPr>
          <w:p>
            <w:r>
              <w:rPr>
                <w:rFonts w:ascii="Calibri" w:hAnsi="Calibri"/>
                <w:sz w:val="22"/>
              </w:rPr>
              <w:t>$885.5M</w:t>
            </w:r>
          </w:p>
        </w:tc>
        <w:tc>
          <w:tcPr>
            <w:tcW w:type="dxa" w:w="1080"/>
          </w:tcPr>
          <w:p>
            <w:r>
              <w:rPr>
                <w:rFonts w:ascii="Calibri" w:hAnsi="Calibri"/>
                <w:sz w:val="22"/>
              </w:rPr>
              <w:t>+0.2%</w:t>
            </w:r>
          </w:p>
        </w:tc>
        <w:tc>
          <w:tcPr>
            <w:tcW w:type="dxa" w:w="1080"/>
          </w:tcPr>
          <w:p>
            <w:r>
              <w:rPr>
                <w:rFonts w:ascii="Calibri" w:hAnsi="Calibri"/>
                <w:sz w:val="22"/>
              </w:rPr>
              <w:t>Growth expected</w:t>
            </w:r>
          </w:p>
        </w:tc>
        <w:tc>
          <w:tcPr>
            <w:tcW w:type="dxa" w:w="1080"/>
          </w:tcPr>
          <w:p>
            <w:r>
              <w:rPr>
                <w:rFonts w:ascii="Calibri" w:hAnsi="Calibri"/>
                <w:sz w:val="22"/>
              </w:rPr>
              <w:t>~10% growth (~$875M implied)</w:t>
            </w:r>
          </w:p>
        </w:tc>
        <w:tc>
          <w:tcPr>
            <w:tcW w:type="dxa" w:w="1080"/>
          </w:tcPr>
          <w:p>
            <w:r>
              <w:rPr>
                <w:rFonts w:ascii="Calibri" w:hAnsi="Calibri"/>
                <w:sz w:val="22"/>
              </w:rPr>
              <w:t>↑ Raised</w:t>
            </w:r>
          </w:p>
        </w:tc>
        <w:tc>
          <w:tcPr>
            <w:tcW w:type="dxa" w:w="1080"/>
          </w:tcPr>
          <w:p>
            <w:r>
              <w:rPr>
                <w:rFonts w:ascii="Calibri" w:hAnsi="Calibri"/>
                <w:sz w:val="22"/>
              </w:rPr>
              <w:t>+1.2% above guidance midpoint — slight premium</w:t>
            </w:r>
          </w:p>
        </w:tc>
      </w:tr>
      <w:tr>
        <w:tc>
          <w:tcPr>
            <w:tcW w:type="dxa" w:w="1080"/>
          </w:tcPr>
          <w:p>
            <w:r>
              <w:rPr>
                <w:rFonts w:ascii="Calibri" w:hAnsi="Calibri"/>
                <w:sz w:val="22"/>
              </w:rPr>
              <w:t>Adj. EBITDA – Global Housing – Q2 2026</w:t>
            </w:r>
          </w:p>
        </w:tc>
        <w:tc>
          <w:tcPr>
            <w:tcW w:type="dxa" w:w="1080"/>
          </w:tcPr>
          <w:p>
            <w:r>
              <w:rPr>
                <w:rFonts w:ascii="Calibri" w:hAnsi="Calibri"/>
                <w:sz w:val="22"/>
              </w:rPr>
              <w:t>$217.0M</w:t>
            </w:r>
          </w:p>
        </w:tc>
        <w:tc>
          <w:tcPr>
            <w:tcW w:type="dxa" w:w="1080"/>
          </w:tcPr>
          <w:p>
            <w:r>
              <w:rPr>
                <w:rFonts w:ascii="Calibri" w:hAnsi="Calibri"/>
                <w:sz w:val="22"/>
              </w:rPr>
              <w:t>$219.5M</w:t>
            </w:r>
          </w:p>
        </w:tc>
        <w:tc>
          <w:tcPr>
            <w:tcW w:type="dxa" w:w="1080"/>
          </w:tcPr>
          <w:p>
            <w:r>
              <w:rPr>
                <w:rFonts w:ascii="Calibri" w:hAnsi="Calibri"/>
                <w:sz w:val="22"/>
              </w:rPr>
              <w:t>+1.2%</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 Global Housing – FY2026</w:t>
            </w:r>
          </w:p>
        </w:tc>
        <w:tc>
          <w:tcPr>
            <w:tcW w:type="dxa" w:w="1080"/>
          </w:tcPr>
          <w:p>
            <w:r>
              <w:rPr>
                <w:rFonts w:ascii="Calibri" w:hAnsi="Calibri"/>
                <w:sz w:val="22"/>
              </w:rPr>
              <w:t>$871.4M</w:t>
            </w:r>
          </w:p>
        </w:tc>
        <w:tc>
          <w:tcPr>
            <w:tcW w:type="dxa" w:w="1080"/>
          </w:tcPr>
          <w:p>
            <w:r>
              <w:rPr>
                <w:rFonts w:ascii="Calibri" w:hAnsi="Calibri"/>
                <w:sz w:val="22"/>
              </w:rPr>
              <w:t>$870.2M</w:t>
            </w:r>
          </w:p>
        </w:tc>
        <w:tc>
          <w:tcPr>
            <w:tcW w:type="dxa" w:w="1080"/>
          </w:tcPr>
          <w:p>
            <w:r>
              <w:rPr>
                <w:rFonts w:ascii="Calibri" w:hAnsi="Calibri"/>
                <w:sz w:val="22"/>
              </w:rPr>
              <w:t>−0.1%</w:t>
            </w:r>
          </w:p>
        </w:tc>
        <w:tc>
          <w:tcPr>
            <w:tcW w:type="dxa" w:w="1080"/>
          </w:tcPr>
          <w:p>
            <w:r>
              <w:rPr>
                <w:rFonts w:ascii="Calibri" w:hAnsi="Calibri"/>
                <w:sz w:val="22"/>
              </w:rPr>
              <w:t>Modest decline</w:t>
            </w:r>
          </w:p>
        </w:tc>
        <w:tc>
          <w:tcPr>
            <w:tcW w:type="dxa" w:w="1080"/>
          </w:tcPr>
          <w:p>
            <w:r>
              <w:rPr>
                <w:rFonts w:ascii="Calibri" w:hAnsi="Calibri"/>
                <w:sz w:val="22"/>
              </w:rPr>
              <w:t>Decline only modestly (improved)</w:t>
            </w:r>
          </w:p>
        </w:tc>
        <w:tc>
          <w:tcPr>
            <w:tcW w:type="dxa" w:w="1080"/>
          </w:tcPr>
          <w:p>
            <w:r>
              <w:rPr>
                <w:rFonts w:ascii="Calibri" w:hAnsi="Calibri"/>
                <w:sz w:val="22"/>
              </w:rPr>
              <w:t>↑ Improved</w:t>
            </w:r>
          </w:p>
        </w:tc>
        <w:tc>
          <w:tcPr>
            <w:tcW w:type="dxa" w:w="1080"/>
          </w:tcPr>
          <w:p>
            <w:r>
              <w:rPr>
                <w:rFonts w:ascii="Calibri" w:hAnsi="Calibri"/>
                <w:sz w:val="22"/>
              </w:rPr>
              <w:t>Consensus implies ~13% decline — conservative vs. “only modestly” guidance</w:t>
            </w:r>
          </w:p>
        </w:tc>
      </w:tr>
    </w:tbl>
    <w:p>
      <w:r>
        <w:rPr>
          <w:rFonts w:ascii="Calibri" w:hAnsi="Calibri"/>
          <w:color w:val="525866"/>
          <w:sz w:val="22"/>
        </w:rPr>
        <w:t>Estimates have been remarkably stable since the Q1 print, with revisions of less than 1% in either direction across all KPIs — suggesting the street has largely accepted management’s raised guidance framework. The most notable divergence is in Global Housing FY2026, where consensus implies a ~13% decline vs. management’s “decline only modestly” language, creating potential upside if cat experience is benign and lender-placed growth continues.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AIZ has significantly outperformed both the insurance sector (KIE) and the S&amp;P 500 since Q1 earnings, with the move driven by a combination of multiple expansion and earnings revision momentum. At 12.7x NTM P/E, the stock has re-rated but remains at a discount to its historical average, suggesting the re-rating may have further to run if Q2 execution is clean.</w:t>
      </w:r>
    </w:p>
    <w:p>
      <w:r>
        <w:rPr>
          <w:rFonts w:ascii="Calibri" w:hAnsi="Calibri"/>
          <w:color w:val="525866"/>
          <w:sz w:val="22"/>
        </w:rPr>
        <w:t xml:space="preserve">Since Q1 earnings (May 5, 2026 close at $237.14), AIZ has risen approximately </w:t>
      </w:r>
      <w:r>
        <w:rPr>
          <w:rFonts w:ascii="Calibri" w:hAnsi="Calibri"/>
          <w:b/>
          <w:color w:val="525866"/>
          <w:sz w:val="22"/>
        </w:rPr>
        <w:t>+18.6%</w:t>
      </w:r>
      <w:r>
        <w:rPr>
          <w:rFonts w:ascii="Calibri" w:hAnsi="Calibri"/>
          <w:color w:val="525866"/>
          <w:sz w:val="22"/>
        </w:rPr>
        <w:t xml:space="preserve"> to $282.39 (August 4, 2026), versus KIE +14.4% and S&amp;P 500 +4.7% over the same period. The outperformance is broad-based: the stock has gained in 3 of the 4 calendar months since the print, with the strongest leg coming in late June through early July as the sector re-rated on benign catastrophe experience reported by TRV, HIG, and WRB. NTM P/E has expanded from ~11.5x at the Q1 print to ~12.7x currently, with EV/EBITDA moving from ~8.0x to ~8.75x — both still below the 5-year average, supporting the view that valuation is not stretched. The stock has not given back any of its post-earnings gains, suggesting the market is treating the Q1 beat as a durable inflection rather than a one-time event.</w:t>
      </w:r>
    </w:p>
    <w:p>
      <w:r>
        <w:rPr>
          <w:rFonts w:ascii="Calibri" w:hAnsi="Calibri"/>
          <w:b/>
          <w:i/>
          <w:color w:val="525866"/>
          <w:sz w:val="22"/>
        </w:rPr>
        <w:t>Chart: AIZ vs. KIE vs. S&amp;P 500 — Indexed to 100 at May 5, 2026 (Q1 2026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AIZ (Indexed)</w:t>
            </w:r>
          </w:p>
        </w:tc>
        <w:tc>
          <w:tcPr>
            <w:tcW w:type="dxa" w:w="2160"/>
            <w:shd w:val="clear" w:color="auto" w:fill="3B4259"/>
          </w:tcPr>
          <w:p>
            <w:r>
              <w:rPr>
                <w:rFonts w:ascii="Calibri" w:hAnsi="Calibri"/>
                <w:b/>
                <w:color w:val="FFFFFF"/>
                <w:sz w:val="22"/>
              </w:rPr>
              <w:t>KIE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5, 2026 (Q1 Earnings)</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29, 2026</w:t>
            </w:r>
          </w:p>
        </w:tc>
        <w:tc>
          <w:tcPr>
            <w:tcW w:type="dxa" w:w="2160"/>
          </w:tcPr>
          <w:p>
            <w:r>
              <w:rPr>
                <w:rFonts w:ascii="Calibri" w:hAnsi="Calibri"/>
                <w:sz w:val="22"/>
              </w:rPr>
              <w:t>104.9</w:t>
            </w:r>
          </w:p>
        </w:tc>
        <w:tc>
          <w:tcPr>
            <w:tcW w:type="dxa" w:w="2160"/>
          </w:tcPr>
          <w:p>
            <w:r>
              <w:rPr>
                <w:rFonts w:ascii="Calibri" w:hAnsi="Calibri"/>
                <w:sz w:val="22"/>
              </w:rPr>
              <w:t>97.5</w:t>
            </w:r>
          </w:p>
        </w:tc>
        <w:tc>
          <w:tcPr>
            <w:tcW w:type="dxa" w:w="2160"/>
          </w:tcPr>
          <w:p>
            <w:r>
              <w:rPr>
                <w:rFonts w:ascii="Calibri" w:hAnsi="Calibri"/>
                <w:sz w:val="22"/>
              </w:rPr>
              <w:t>104.5</w:t>
            </w:r>
          </w:p>
        </w:tc>
      </w:tr>
      <w:tr>
        <w:tc>
          <w:tcPr>
            <w:tcW w:type="dxa" w:w="2160"/>
          </w:tcPr>
          <w:p>
            <w:r>
              <w:rPr>
                <w:rFonts w:ascii="Calibri" w:hAnsi="Calibri"/>
                <w:sz w:val="22"/>
              </w:rPr>
              <w:t>Jun 30, 2026</w:t>
            </w:r>
          </w:p>
        </w:tc>
        <w:tc>
          <w:tcPr>
            <w:tcW w:type="dxa" w:w="2160"/>
          </w:tcPr>
          <w:p>
            <w:r>
              <w:rPr>
                <w:rFonts w:ascii="Calibri" w:hAnsi="Calibri"/>
                <w:sz w:val="22"/>
              </w:rPr>
              <w:t>113.2</w:t>
            </w:r>
          </w:p>
        </w:tc>
        <w:tc>
          <w:tcPr>
            <w:tcW w:type="dxa" w:w="2160"/>
          </w:tcPr>
          <w:p>
            <w:r>
              <w:rPr>
                <w:rFonts w:ascii="Calibri" w:hAnsi="Calibri"/>
                <w:sz w:val="22"/>
              </w:rPr>
              <w:t>107.8</w:t>
            </w:r>
          </w:p>
        </w:tc>
        <w:tc>
          <w:tcPr>
            <w:tcW w:type="dxa" w:w="2160"/>
          </w:tcPr>
          <w:p>
            <w:r>
              <w:rPr>
                <w:rFonts w:ascii="Calibri" w:hAnsi="Calibri"/>
                <w:sz w:val="22"/>
              </w:rPr>
              <w:t>103.2</w:t>
            </w:r>
          </w:p>
        </w:tc>
      </w:tr>
      <w:tr>
        <w:tc>
          <w:tcPr>
            <w:tcW w:type="dxa" w:w="2160"/>
          </w:tcPr>
          <w:p>
            <w:r>
              <w:rPr>
                <w:rFonts w:ascii="Calibri" w:hAnsi="Calibri"/>
                <w:sz w:val="22"/>
              </w:rPr>
              <w:t>Jul 17, 2026 (TRV Q2 Earnings)</w:t>
            </w:r>
          </w:p>
        </w:tc>
        <w:tc>
          <w:tcPr>
            <w:tcW w:type="dxa" w:w="2160"/>
          </w:tcPr>
          <w:p>
            <w:r>
              <w:rPr>
                <w:rFonts w:ascii="Calibri" w:hAnsi="Calibri"/>
                <w:sz w:val="22"/>
              </w:rPr>
              <w:t>116.6</w:t>
            </w:r>
          </w:p>
        </w:tc>
        <w:tc>
          <w:tcPr>
            <w:tcW w:type="dxa" w:w="2160"/>
          </w:tcPr>
          <w:p>
            <w:r>
              <w:rPr>
                <w:rFonts w:ascii="Calibri" w:hAnsi="Calibri"/>
                <w:sz w:val="22"/>
              </w:rPr>
              <w:t>113.5</w:t>
            </w:r>
          </w:p>
        </w:tc>
        <w:tc>
          <w:tcPr>
            <w:tcW w:type="dxa" w:w="2160"/>
          </w:tcPr>
          <w:p>
            <w:r>
              <w:rPr>
                <w:rFonts w:ascii="Calibri" w:hAnsi="Calibri"/>
                <w:sz w:val="22"/>
              </w:rPr>
              <w:t>102.7</w:t>
            </w:r>
          </w:p>
        </w:tc>
      </w:tr>
      <w:tr>
        <w:tc>
          <w:tcPr>
            <w:tcW w:type="dxa" w:w="2160"/>
          </w:tcPr>
          <w:p>
            <w:r>
              <w:rPr>
                <w:rFonts w:ascii="Calibri" w:hAnsi="Calibri"/>
                <w:sz w:val="22"/>
              </w:rPr>
              <w:t>Jul 31, 2026</w:t>
            </w:r>
          </w:p>
        </w:tc>
        <w:tc>
          <w:tcPr>
            <w:tcW w:type="dxa" w:w="2160"/>
          </w:tcPr>
          <w:p>
            <w:r>
              <w:rPr>
                <w:rFonts w:ascii="Calibri" w:hAnsi="Calibri"/>
                <w:sz w:val="22"/>
              </w:rPr>
              <w:t>117.7</w:t>
            </w:r>
          </w:p>
        </w:tc>
        <w:tc>
          <w:tcPr>
            <w:tcW w:type="dxa" w:w="2160"/>
          </w:tcPr>
          <w:p>
            <w:r>
              <w:rPr>
                <w:rFonts w:ascii="Calibri" w:hAnsi="Calibri"/>
                <w:sz w:val="22"/>
              </w:rPr>
              <w:t>113.6</w:t>
            </w:r>
          </w:p>
        </w:tc>
        <w:tc>
          <w:tcPr>
            <w:tcW w:type="dxa" w:w="2160"/>
          </w:tcPr>
          <w:p>
            <w:r>
              <w:rPr>
                <w:rFonts w:ascii="Calibri" w:hAnsi="Calibri"/>
                <w:sz w:val="22"/>
              </w:rPr>
              <w:t>103.2</w:t>
            </w:r>
          </w:p>
        </w:tc>
      </w:tr>
      <w:tr>
        <w:tc>
          <w:tcPr>
            <w:tcW w:type="dxa" w:w="2160"/>
          </w:tcPr>
          <w:p>
            <w:r>
              <w:rPr>
                <w:rFonts w:ascii="Calibri" w:hAnsi="Calibri"/>
                <w:sz w:val="22"/>
              </w:rPr>
              <w:t>Aug 4, 2026 (Latest)</w:t>
            </w:r>
          </w:p>
        </w:tc>
        <w:tc>
          <w:tcPr>
            <w:tcW w:type="dxa" w:w="2160"/>
          </w:tcPr>
          <w:p>
            <w:r>
              <w:rPr>
                <w:rFonts w:ascii="Calibri" w:hAnsi="Calibri"/>
                <w:sz w:val="22"/>
              </w:rPr>
              <w:t>119.1</w:t>
            </w:r>
          </w:p>
        </w:tc>
        <w:tc>
          <w:tcPr>
            <w:tcW w:type="dxa" w:w="2160"/>
          </w:tcPr>
          <w:p>
            <w:r>
              <w:rPr>
                <w:rFonts w:ascii="Calibri" w:hAnsi="Calibri"/>
                <w:sz w:val="22"/>
              </w:rPr>
              <w:t>114.4</w:t>
            </w:r>
          </w:p>
        </w:tc>
        <w:tc>
          <w:tcPr>
            <w:tcW w:type="dxa" w:w="2160"/>
          </w:tcPr>
          <w:p>
            <w:r>
              <w:rPr>
                <w:rFonts w:ascii="Calibri" w:hAnsi="Calibri"/>
                <w:sz w:val="22"/>
              </w:rPr>
              <w:t>104.7</w:t>
            </w:r>
          </w:p>
        </w:tc>
      </w:tr>
    </w:tbl>
    <w:p>
      <w:r>
        <w:rPr>
          <w:rFonts w:ascii="Calibri" w:hAnsi="Calibri"/>
          <w:i/>
          <w:color w:val="525866"/>
          <w:sz w:val="22"/>
        </w:rPr>
        <w:t>Note: Indexed to 100 at May 5, 2026 close (AIZ: $237.14, KIE: $56.55, SPY: $723.77). Aug 4 reflects intraday/latest available price. Material event: TRV Q2 2026 earnings (July 17) provided a positive sector read-through on benign cat experience, contributing to the sector re-rating visible in mid-July.</w:t>
      </w:r>
    </w:p>
    <w:p>
      <w:r>
        <w:rPr>
          <w:rFonts w:ascii="Calibri" w:hAnsi="Calibri"/>
          <w:b/>
          <w:color w:val="525866"/>
          <w:sz w:val="22"/>
        </w:rPr>
        <w:t xml:space="preserve">Valuation Context: </w:t>
      </w:r>
      <w:r>
        <w:rPr>
          <w:rFonts w:ascii="Calibri" w:hAnsi="Calibri"/>
          <w:color w:val="525866"/>
          <w:sz w:val="22"/>
        </w:rPr>
        <w:t>NTM P/E of 12.7x and EV/EBITDA of 8.75x remain below historical averages, supporting the view that the re-rating is earnings-driven rather than multiple-driven. Over the trailing 12 months, AIZ is up ~51%, with roughly 25% attributable to P/E expansion and the remainder to earnings growth — a healthy composition.</w:t>
      </w:r>
    </w:p>
    <w:p>
      <w:r>
        <w:rPr>
          <w:rFonts w:ascii="Calibri" w:hAnsi="Calibri"/>
          <w:i/>
          <w:color w:val="525866"/>
          <w:sz w:val="22"/>
        </w:rPr>
        <w:t>Source: Stock Price Data (Yahoo Finance); Visible Alpha Consensus and Actuals Data (NTM multiples).</w:t>
      </w:r>
    </w:p>
    <w:p>
      <w:r>
        <w:br w:type="page"/>
      </w:r>
    </w:p>
    <w:p>
      <w:pPr>
        <w:pStyle w:val="Heading2"/>
      </w:pPr>
      <w:r>
        <w:rPr>
          <w:rFonts w:ascii="Calibri" w:hAnsi="Calibri"/>
          <w:b/>
          <w:color w:val="3B4259"/>
          <w:sz w:val="28"/>
        </w:rPr>
        <w:t>6. Peer Commentaries / Read-Throughs (Last 60 Days)</w:t>
      </w:r>
    </w:p>
    <w:p>
      <w:r>
        <w:rPr>
          <w:rFonts w:ascii="Calibri" w:hAnsi="Calibri"/>
          <w:b/>
          <w:color w:val="525866"/>
          <w:sz w:val="22"/>
        </w:rPr>
        <w:t xml:space="preserve">Key Takeaway: </w:t>
      </w:r>
      <w:r>
        <w:rPr>
          <w:rFonts w:ascii="Calibri" w:hAnsi="Calibri"/>
          <w:color w:val="525866"/>
          <w:sz w:val="22"/>
        </w:rPr>
        <w:t>Q2 2026 peer earnings from TRV, HIG, WRB, and CB collectively paint a constructive backdrop for AIZ — benign cat experience, favorable prior-year reserve development in home and auto, strong investment income, and stable-to-improving loss ratios across personal lines. The primary caution flag is WRB’s warning that the property market may be “lulled into a false sense of comfort” by a benign cat environment.</w:t>
      </w:r>
    </w:p>
    <w:p>
      <w:r>
        <w:rPr>
          <w:rFonts w:ascii="Calibri" w:hAnsi="Calibri"/>
          <w:b/>
          <w:i/>
          <w:color w:val="525866"/>
          <w:sz w:val="22"/>
        </w:rPr>
        <w:t xml:space="preserve">Note on scope: </w:t>
      </w:r>
      <w:r>
        <w:rPr>
          <w:rFonts w:ascii="Calibri" w:hAnsi="Calibri"/>
          <w:i/>
          <w:color w:val="525866"/>
          <w:sz w:val="22"/>
        </w:rPr>
        <w:t>Only commentary from peers’ Q2 2026 earnings calls (reporting on the quarter ended June 30, 2026) is included below. Prior-quarter retrospective commentary has been excluded.</w:t>
      </w:r>
    </w:p>
    <w:p>
      <w:pPr>
        <w:pStyle w:val="Heading3"/>
      </w:pPr>
      <w:r>
        <w:rPr>
          <w:rFonts w:ascii="Calibri" w:hAnsi="Calibri"/>
          <w:b/>
          <w:color w:val="3B4259"/>
          <w:sz w:val="24"/>
        </w:rPr>
        <w:t>6.1 Travelers (TRV) — Q2 2026 Earnings (July 17, 2026)</w:t>
      </w:r>
    </w:p>
    <w:p>
      <w:r>
        <w:rPr>
          <w:rFonts w:ascii="Calibri" w:hAnsi="Calibri"/>
          <w:b/>
          <w:color w:val="525866"/>
          <w:sz w:val="22"/>
        </w:rPr>
        <w:t xml:space="preserve">Read-through strength: </w:t>
      </w:r>
      <w:r>
        <w:rPr>
          <w:rFonts w:ascii="Calibri" w:hAnsi="Calibri"/>
          <w:color w:val="525866"/>
          <w:sz w:val="22"/>
        </w:rPr>
        <w:t>Direct and broadly positive across all AIZ segments.</w:t>
      </w:r>
    </w:p>
    <w:p>
      <w:pPr>
        <w:pStyle w:val="ListBullet"/>
        <w:ind w:left="360" w:hanging="360"/>
      </w:pPr>
      <w:r>
        <w:rPr>
          <w:rFonts w:ascii="Calibri" w:hAnsi="Calibri"/>
          <w:b/>
          <w:color w:val="525866"/>
          <w:sz w:val="22"/>
        </w:rPr>
        <w:t xml:space="preserve">Benign catastrophe quarter (Direct → AIZ Global Housing): </w:t>
      </w:r>
      <w:r>
        <w:rPr>
          <w:rFonts w:ascii="Calibri" w:hAnsi="Calibri"/>
          <w:color w:val="525866"/>
          <w:sz w:val="22"/>
        </w:rPr>
        <w:t>TRV reported after-tax cat losses of “a little more than $400M” for Q2 2026, with Personal Insurance reflecting “modest catastrophe losses” and an excellent 76.7% combined ratio in homeowners. This is a strong positive read-through for AIZ’s Global Housing segment, suggesting Q2 was not a heavy cat quarter for property-related exposures.</w:t>
      </w:r>
    </w:p>
    <w:p>
      <w:pPr>
        <w:pStyle w:val="ListBullet"/>
        <w:ind w:left="360" w:hanging="360"/>
      </w:pPr>
      <w:r>
        <w:rPr>
          <w:rFonts w:ascii="Calibri" w:hAnsi="Calibri"/>
          <w:b/>
          <w:color w:val="525866"/>
          <w:sz w:val="22"/>
        </w:rPr>
        <w:t xml:space="preserve">Favorable prior-year reserve development in home and auto (Direct → AIZ Global Housing &amp; Global Auto): </w:t>
      </w:r>
      <w:r>
        <w:rPr>
          <w:rFonts w:ascii="Calibri" w:hAnsi="Calibri"/>
          <w:color w:val="525866"/>
          <w:sz w:val="22"/>
        </w:rPr>
        <w:t>TRV recognized $184M of net favorable PYD in Personal Insurance, with “favorability in both home and auto.” This is directly relevant to AIZ’s Global Housing (where PYD has been a key swing factor) and Global Automotive segments, suggesting industry-wide reserve adequacy in these lines.</w:t>
      </w:r>
    </w:p>
    <w:p>
      <w:pPr>
        <w:pStyle w:val="ListBullet"/>
        <w:ind w:left="360" w:hanging="360"/>
      </w:pPr>
      <w:r>
        <w:rPr>
          <w:rFonts w:ascii="Calibri" w:hAnsi="Calibri"/>
          <w:b/>
          <w:color w:val="525866"/>
          <w:sz w:val="22"/>
        </w:rPr>
        <w:t xml:space="preserve">Strong auto profitability (Direct → AIZ Global Automotive): </w:t>
      </w:r>
      <w:r>
        <w:rPr>
          <w:rFonts w:ascii="Calibri" w:hAnsi="Calibri"/>
          <w:color w:val="525866"/>
          <w:sz w:val="22"/>
        </w:rPr>
        <w:t>TRV’s auto underlying combined ratio of 85.8% improved “just over three points” YoY, driven by “favorable loss experience across coverages” including both frequency and severity. Renewal premium change was flat, reflecting achieved rate adequacy. This supports AIZ’s narrative of continued Global Auto loss improvement.</w:t>
      </w:r>
    </w:p>
    <w:p>
      <w:pPr>
        <w:pStyle w:val="ListBullet"/>
        <w:ind w:left="360" w:hanging="360"/>
      </w:pPr>
      <w:r>
        <w:rPr>
          <w:rFonts w:ascii="Calibri" w:hAnsi="Calibri"/>
          <w:b/>
          <w:color w:val="525866"/>
          <w:sz w:val="22"/>
        </w:rPr>
        <w:t xml:space="preserve">Homeowners pricing moderating but profitable (Direct → AIZ Global Housing): </w:t>
      </w:r>
      <w:r>
        <w:rPr>
          <w:rFonts w:ascii="Calibri" w:hAnsi="Calibri"/>
          <w:color w:val="525866"/>
          <w:sz w:val="22"/>
        </w:rPr>
        <w:t>TRV’s homeowners renewal premium change of 6.6% “continued to moderate as intended,” with retention strong at 85% and new business growing. This confirms that the hard market in homeowners is maturing but remains profitable — consistent with AIZ’s lender-placed growth thesis.</w:t>
      </w:r>
    </w:p>
    <w:p>
      <w:pPr>
        <w:pStyle w:val="ListBullet"/>
        <w:ind w:left="360" w:hanging="360"/>
      </w:pPr>
      <w:r>
        <w:rPr>
          <w:rFonts w:ascii="Calibri" w:hAnsi="Calibri"/>
          <w:b/>
          <w:color w:val="525866"/>
          <w:sz w:val="22"/>
        </w:rPr>
        <w:t xml:space="preserve">Net investment income +14% YoY (Direct → All AIZ Segments): </w:t>
      </w:r>
      <w:r>
        <w:rPr>
          <w:rFonts w:ascii="Calibri" w:hAnsi="Calibri"/>
          <w:color w:val="525866"/>
          <w:sz w:val="22"/>
        </w:rPr>
        <w:t>TRV’s after-tax NII rose to $883M, driven by higher yields and invested assets. New money yields ~90 bps above the embedded portfolio yield. This is a direct positive read-through for AIZ’s investment income line, which management has cited as a key driver of Global Auto and Housing earnings growth.</w:t>
      </w:r>
    </w:p>
    <w:p>
      <w:pPr>
        <w:pStyle w:val="ListBullet"/>
        <w:ind w:left="360" w:hanging="360"/>
      </w:pPr>
      <w:r>
        <w:rPr>
          <w:rFonts w:ascii="Calibri" w:hAnsi="Calibri"/>
          <w:b/>
          <w:color w:val="525866"/>
          <w:sz w:val="22"/>
        </w:rPr>
        <w:t xml:space="preserve">Reinsurance market functioning (Moderate → AIZ Global Housing): </w:t>
      </w:r>
      <w:r>
        <w:rPr>
          <w:rFonts w:ascii="Calibri" w:hAnsi="Calibri"/>
          <w:color w:val="525866"/>
          <w:sz w:val="22"/>
        </w:rPr>
        <w:t>TRV increased its cat bond from $575M to $750M and renewed its Northeast property Cat XOL treaty, indicating available reinsurance capacity. AIZ secured its own 2026 cat reinsurance program at ~$180M (vs. ~$200M in 2025), and TRV’s experience confirms the market remains accessible.</w:t>
      </w:r>
    </w:p>
    <w:p>
      <w:pPr>
        <w:pStyle w:val="Heading3"/>
      </w:pPr>
      <w:r>
        <w:rPr>
          <w:rFonts w:ascii="Calibri" w:hAnsi="Calibri"/>
          <w:b/>
          <w:color w:val="3B4259"/>
          <w:sz w:val="24"/>
        </w:rPr>
        <w:t>6.2 The Hartford (HIG) — Q2 2026 Earnings (July 24, 2026)</w:t>
      </w:r>
    </w:p>
    <w:p>
      <w:r>
        <w:rPr>
          <w:rFonts w:ascii="Calibri" w:hAnsi="Calibri"/>
          <w:b/>
          <w:color w:val="525866"/>
          <w:sz w:val="22"/>
        </w:rPr>
        <w:t xml:space="preserve">Read-through strength: </w:t>
      </w:r>
      <w:r>
        <w:rPr>
          <w:rFonts w:ascii="Calibri" w:hAnsi="Calibri"/>
          <w:color w:val="525866"/>
          <w:sz w:val="22"/>
        </w:rPr>
        <w:t>Direct on pricing, loss ratios, and investment income; moderate on commercial auto reserve development.</w:t>
      </w:r>
    </w:p>
    <w:p>
      <w:pPr>
        <w:pStyle w:val="ListBullet"/>
        <w:ind w:left="360" w:hanging="360"/>
      </w:pPr>
      <w:r>
        <w:rPr>
          <w:rFonts w:ascii="Calibri" w:hAnsi="Calibri"/>
          <w:b/>
          <w:color w:val="525866"/>
          <w:sz w:val="22"/>
        </w:rPr>
        <w:t xml:space="preserve">Personal auto profitability strong (Direct → AIZ Global Automotive): </w:t>
      </w:r>
      <w:r>
        <w:rPr>
          <w:rFonts w:ascii="Calibri" w:hAnsi="Calibri"/>
          <w:color w:val="525866"/>
          <w:sz w:val="22"/>
        </w:rPr>
        <w:t>HIG’s personal auto underlying combined ratio was 86.3%, improving 1.9 points YoY as “earned pricing continues to exceed loss trend.” Renewal written pricing was +5.5% in auto. This is a direct positive read-through for AIZ’s Global Auto segment, confirming that rate adequacy has been achieved and loss trends are favorable.</w:t>
      </w:r>
    </w:p>
    <w:p>
      <w:pPr>
        <w:pStyle w:val="ListBullet"/>
        <w:ind w:left="360" w:hanging="360"/>
      </w:pPr>
      <w:r>
        <w:rPr>
          <w:rFonts w:ascii="Calibri" w:hAnsi="Calibri"/>
          <w:b/>
          <w:color w:val="525866"/>
          <w:sz w:val="22"/>
        </w:rPr>
        <w:t xml:space="preserve">Personal home pricing +10.4% (Direct → AIZ Global Housing): </w:t>
      </w:r>
      <w:r>
        <w:rPr>
          <w:rFonts w:ascii="Calibri" w:hAnsi="Calibri"/>
          <w:color w:val="525866"/>
          <w:sz w:val="22"/>
        </w:rPr>
        <w:t>HIG reported home renewal written pricing of +10.4% with “strong” results and “consistent underwriting execution.” This confirms the hard market in homeowners remains intact, supporting AIZ’s lender-placed premium growth and specialty product expansion.</w:t>
      </w:r>
    </w:p>
    <w:p>
      <w:pPr>
        <w:pStyle w:val="ListBullet"/>
        <w:ind w:left="360" w:hanging="360"/>
      </w:pPr>
      <w:r>
        <w:rPr>
          <w:rFonts w:ascii="Calibri" w:hAnsi="Calibri"/>
          <w:b/>
          <w:color w:val="525866"/>
          <w:sz w:val="22"/>
        </w:rPr>
        <w:t xml:space="preserve">Small commercial property pricing steady in mid-single digits (Direct → AIZ Global Housing): </w:t>
      </w:r>
      <w:r>
        <w:rPr>
          <w:rFonts w:ascii="Calibri" w:hAnsi="Calibri"/>
          <w:color w:val="525866"/>
          <w:sz w:val="22"/>
        </w:rPr>
        <w:t>HIG noted that “aggregate property pricing for small business package and middle market general industries remained fairly steady in the mid-single digits,” with the flow for the small business team “remains really strong.” This is directly relevant to AIZ’s specialty property products.</w:t>
      </w:r>
    </w:p>
    <w:p>
      <w:pPr>
        <w:pStyle w:val="ListBullet"/>
        <w:ind w:left="360" w:hanging="360"/>
      </w:pPr>
      <w:r>
        <w:rPr>
          <w:rFonts w:ascii="Calibri" w:hAnsi="Calibri"/>
          <w:b/>
          <w:color w:val="525866"/>
          <w:sz w:val="22"/>
        </w:rPr>
        <w:t xml:space="preserve">Commercial auto liability adverse development (Moderate caution → AIZ Global Automotive): </w:t>
      </w:r>
      <w:r>
        <w:rPr>
          <w:rFonts w:ascii="Calibri" w:hAnsi="Calibri"/>
          <w:color w:val="525866"/>
          <w:sz w:val="22"/>
        </w:rPr>
        <w:t>HIG increased commercial auto liability reserves for accident years 2023–2024 due to “higher severity than previously estimated,” reflecting “increasing attorney representation and time limit demands.” This is a moderate caution flag for AIZ’s Global Auto segment, though AIZ’s vehicle protection products (VSCs, GAP) have different liability profiles than traditional commercial auto.</w:t>
      </w:r>
    </w:p>
    <w:p>
      <w:pPr>
        <w:pStyle w:val="ListBullet"/>
        <w:ind w:left="360" w:hanging="360"/>
      </w:pPr>
      <w:r>
        <w:rPr>
          <w:rFonts w:ascii="Calibri" w:hAnsi="Calibri"/>
          <w:b/>
          <w:color w:val="525866"/>
          <w:sz w:val="22"/>
        </w:rPr>
        <w:t xml:space="preserve">Net investment income +22% YoY (Direct → All AIZ Segments): </w:t>
      </w:r>
      <w:r>
        <w:rPr>
          <w:rFonts w:ascii="Calibri" w:hAnsi="Calibri"/>
          <w:color w:val="525866"/>
          <w:sz w:val="22"/>
        </w:rPr>
        <w:t>HIG’s NII rose to $800M, with annualized portfolio yield of 4.7% (up 20 bps from Q1) and LP returns of 7.6%. This reinforces the industry-wide tailwind from higher reinvestment rates that benefits AIZ’s investment portfolio.</w:t>
      </w:r>
    </w:p>
    <w:p>
      <w:pPr>
        <w:pStyle w:val="ListBullet"/>
        <w:ind w:left="360" w:hanging="360"/>
      </w:pPr>
      <w:r>
        <w:rPr>
          <w:rFonts w:ascii="Calibri" w:hAnsi="Calibri"/>
          <w:b/>
          <w:color w:val="525866"/>
          <w:sz w:val="22"/>
        </w:rPr>
        <w:t xml:space="preserve">Non-cat property losses elevated in middle market (Moderate caution → AIZ Global Housing): </w:t>
      </w:r>
      <w:r>
        <w:rPr>
          <w:rFonts w:ascii="Calibri" w:hAnsi="Calibri"/>
          <w:color w:val="525866"/>
          <w:sz w:val="22"/>
        </w:rPr>
        <w:t>HIG noted “elevated non-cat property losses due to a few large fire losses” in middle and large business, with non-cat property coming in “a little bit under what we would have anticipated.” This is a moderate caution flag for AIZ’s Global Housing non-cat loss ratio, though AIZ’s exposure is primarily residential/lender-placed rather than commercial.</w:t>
      </w:r>
    </w:p>
    <w:p>
      <w:pPr>
        <w:pStyle w:val="Heading3"/>
      </w:pPr>
      <w:r>
        <w:rPr>
          <w:rFonts w:ascii="Calibri" w:hAnsi="Calibri"/>
          <w:b/>
          <w:color w:val="3B4259"/>
          <w:sz w:val="24"/>
        </w:rPr>
        <w:t>6.3 W.R. Berkley (WRB) — Q2 2026 Earnings (July 20, 2026)</w:t>
      </w:r>
    </w:p>
    <w:p>
      <w:r>
        <w:rPr>
          <w:rFonts w:ascii="Calibri" w:hAnsi="Calibri"/>
          <w:b/>
          <w:color w:val="525866"/>
          <w:sz w:val="22"/>
        </w:rPr>
        <w:t xml:space="preserve">Read-through strength: </w:t>
      </w:r>
      <w:r>
        <w:rPr>
          <w:rFonts w:ascii="Calibri" w:hAnsi="Calibri"/>
          <w:color w:val="525866"/>
          <w:sz w:val="22"/>
        </w:rPr>
        <w:t>Direct on cat experience and investment income; important caution on property market complacency.</w:t>
      </w:r>
    </w:p>
    <w:p>
      <w:pPr>
        <w:pStyle w:val="ListBullet"/>
        <w:ind w:left="360" w:hanging="360"/>
      </w:pPr>
      <w:r>
        <w:rPr>
          <w:rFonts w:ascii="Calibri" w:hAnsi="Calibri"/>
          <w:b/>
          <w:color w:val="525866"/>
          <w:sz w:val="22"/>
        </w:rPr>
        <w:t xml:space="preserve">Benign cat quarter (Direct → AIZ Global Housing): </w:t>
      </w:r>
      <w:r>
        <w:rPr>
          <w:rFonts w:ascii="Calibri" w:hAnsi="Calibri"/>
          <w:color w:val="525866"/>
          <w:sz w:val="22"/>
        </w:rPr>
        <w:t>WRB reported cat losses of $62M in Q2 2026, down $37M YoY, representing “two loss ratio points compared with 3.2 points in the prior year.” Management confirmed “a relatively benign cat quarter given the time of year.” This is a direct positive read-through for AIZ’s Global Housing segment.</w:t>
      </w:r>
    </w:p>
    <w:p>
      <w:pPr>
        <w:pStyle w:val="ListBullet"/>
        <w:ind w:left="360" w:hanging="360"/>
      </w:pPr>
      <w:r>
        <w:rPr>
          <w:rFonts w:ascii="Calibri" w:hAnsi="Calibri"/>
          <w:b/>
          <w:color w:val="525866"/>
          <w:sz w:val="22"/>
        </w:rPr>
        <w:t xml:space="preserve">Property market complacency warning (Direct caution → AIZ Global Housing): </w:t>
      </w:r>
      <w:r>
        <w:rPr>
          <w:rFonts w:ascii="Calibri" w:hAnsi="Calibri"/>
          <w:color w:val="525866"/>
          <w:sz w:val="22"/>
        </w:rPr>
        <w:t>CEO Rob Berkley issued a notable warning: “Mother Nature is lulling the property market into a false sense of comfort, and this will go on perhaps for some period of time. And then once again, the industry will learn the hard way.” He also flagged that “the greatest stupidity can be found most easily in the property arena” in shared and layered structures. While AIZ’s lender-placed business is structurally different from commercial property, this is a relevant caution on pricing discipline and reserve adequacy in the broader property market.</w:t>
      </w:r>
    </w:p>
    <w:p>
      <w:pPr>
        <w:pStyle w:val="ListBullet"/>
        <w:ind w:left="360" w:hanging="360"/>
      </w:pPr>
      <w:r>
        <w:rPr>
          <w:rFonts w:ascii="Calibri" w:hAnsi="Calibri"/>
          <w:b/>
          <w:color w:val="525866"/>
          <w:sz w:val="22"/>
        </w:rPr>
        <w:t xml:space="preserve">Moderating but positive rate environment (Direct → All AIZ Segments): </w:t>
      </w:r>
      <w:r>
        <w:rPr>
          <w:rFonts w:ascii="Calibri" w:hAnsi="Calibri"/>
          <w:color w:val="525866"/>
          <w:sz w:val="22"/>
        </w:rPr>
        <w:t>WRB reported a 3.8% pure rate increase ex-workers’ comp, with management not expecting rates to “fall off considerably.” Stable terms and conditions are holding. This supports AIZ’s ability to maintain pricing discipline across its product lines.</w:t>
      </w:r>
    </w:p>
    <w:p>
      <w:pPr>
        <w:pStyle w:val="ListBullet"/>
        <w:ind w:left="360" w:hanging="360"/>
      </w:pPr>
      <w:r>
        <w:rPr>
          <w:rFonts w:ascii="Calibri" w:hAnsi="Calibri"/>
          <w:b/>
          <w:color w:val="525866"/>
          <w:sz w:val="22"/>
        </w:rPr>
        <w:t xml:space="preserve">Record investment income (Direct → All AIZ Segments): </w:t>
      </w:r>
      <w:r>
        <w:rPr>
          <w:rFonts w:ascii="Calibri" w:hAnsi="Calibri"/>
          <w:color w:val="525866"/>
          <w:sz w:val="22"/>
        </w:rPr>
        <w:t>WRB achieved record quarterly pre-tax NII of $419M, with core portfolio income up 13% YoY. New money rates “comfortably start with a five” vs. a domestic book yield of 4.8%, providing “a lot of upside from here.” This is a direct positive read-through for AIZ’s investment income trajectory.</w:t>
      </w:r>
    </w:p>
    <w:p>
      <w:pPr>
        <w:pStyle w:val="ListBullet"/>
        <w:ind w:left="360" w:hanging="360"/>
      </w:pPr>
      <w:r>
        <w:rPr>
          <w:rFonts w:ascii="Calibri" w:hAnsi="Calibri"/>
          <w:b/>
          <w:color w:val="525866"/>
          <w:sz w:val="22"/>
        </w:rPr>
        <w:t xml:space="preserve">AI driving 20%+ underwriting efficiency gains (Direct → AIZ Connected Living &amp; All Segments): </w:t>
      </w:r>
      <w:r>
        <w:rPr>
          <w:rFonts w:ascii="Calibri" w:hAnsi="Calibri"/>
          <w:color w:val="525866"/>
          <w:sz w:val="22"/>
        </w:rPr>
        <w:t>WRB reported “20 plus percent uplift in efficiency” from AI-driven underwriting workbenches, with confidence in “significant additional juice to squeeze out.” This is directly relevant to AIZ’s AI and automation investment thesis, which management has highlighted as a key driver of expense leverage across all segments.</w:t>
      </w:r>
    </w:p>
    <w:p>
      <w:pPr>
        <w:pStyle w:val="ListBullet"/>
        <w:ind w:left="360" w:hanging="360"/>
      </w:pPr>
      <w:r>
        <w:rPr>
          <w:rFonts w:ascii="Calibri" w:hAnsi="Calibri"/>
          <w:b/>
          <w:color w:val="525866"/>
          <w:sz w:val="22"/>
        </w:rPr>
        <w:t xml:space="preserve">Evolving distribution toward customer preferences (Direct → AIZ Connected Living): </w:t>
      </w:r>
      <w:r>
        <w:rPr>
          <w:rFonts w:ascii="Calibri" w:hAnsi="Calibri"/>
          <w:color w:val="525866"/>
          <w:sz w:val="22"/>
        </w:rPr>
        <w:t>WRB emphasized meeting customers “wherever they are and however they wish to be met,” with non-traditional distribution channels contributing and expected to grow. This validates AIZ’s B2B2C distribution model and Connected Living’s multi-channel approach.</w:t>
      </w:r>
    </w:p>
    <w:p>
      <w:pPr>
        <w:pStyle w:val="Heading3"/>
      </w:pPr>
      <w:r>
        <w:rPr>
          <w:rFonts w:ascii="Calibri" w:hAnsi="Calibri"/>
          <w:b/>
          <w:color w:val="3B4259"/>
          <w:sz w:val="24"/>
        </w:rPr>
        <w:t>6.4 Chubb (CB) — Q2 2026 Earnings (July 22, 2026)</w:t>
      </w:r>
    </w:p>
    <w:p>
      <w:r>
        <w:rPr>
          <w:rFonts w:ascii="Calibri" w:hAnsi="Calibri"/>
          <w:b/>
          <w:color w:val="525866"/>
          <w:sz w:val="22"/>
        </w:rPr>
        <w:t xml:space="preserve">Read-through strength: </w:t>
      </w:r>
      <w:r>
        <w:rPr>
          <w:rFonts w:ascii="Calibri" w:hAnsi="Calibri"/>
          <w:color w:val="525866"/>
          <w:sz w:val="22"/>
        </w:rPr>
        <w:t>Direct on investment income and short-tail loss trends; moderate on international consumer growth; weak on commercial property pricing softness.</w:t>
      </w:r>
    </w:p>
    <w:p>
      <w:pPr>
        <w:pStyle w:val="ListBullet"/>
        <w:ind w:left="360" w:hanging="360"/>
      </w:pPr>
      <w:r>
        <w:rPr>
          <w:rFonts w:ascii="Calibri" w:hAnsi="Calibri"/>
          <w:b/>
          <w:color w:val="525866"/>
          <w:sz w:val="22"/>
        </w:rPr>
        <w:t xml:space="preserve">Record investment income (Direct → All AIZ Segments): </w:t>
      </w:r>
      <w:r>
        <w:rPr>
          <w:rFonts w:ascii="Calibri" w:hAnsi="Calibri"/>
          <w:color w:val="525866"/>
          <w:sz w:val="22"/>
        </w:rPr>
        <w:t>CB reported record adjusted NII of $1.88B, up 11%+, with a fixed income portfolio yield of 5.1% and new money rates averaging 5.5%. This is a direct positive read-through for AIZ’s investment income, confirming the favorable reinvestment environment persists.</w:t>
      </w:r>
    </w:p>
    <w:p>
      <w:pPr>
        <w:pStyle w:val="ListBullet"/>
        <w:ind w:left="360" w:hanging="360"/>
      </w:pPr>
      <w:r>
        <w:rPr>
          <w:rFonts w:ascii="Calibri" w:hAnsi="Calibri"/>
          <w:b/>
          <w:color w:val="525866"/>
          <w:sz w:val="22"/>
        </w:rPr>
        <w:t xml:space="preserve">Short-tail loss cost trend steady at ~4.5% (Direct → AIZ Global Housing &amp; Connected Living): </w:t>
      </w:r>
      <w:r>
        <w:rPr>
          <w:rFonts w:ascii="Calibri" w:hAnsi="Calibri"/>
          <w:color w:val="525866"/>
          <w:sz w:val="22"/>
        </w:rPr>
        <w:t>CB noted that short-tail loss cost trends are “steady” at “bouncing around the 4.5%.” AIZ’s property insurance (Global Housing) and device protection/extended service contracts (Connected Living) are generally short-tail lines, making this a relevant benchmark for AIZ’s own loss cost management.</w:t>
      </w:r>
    </w:p>
    <w:p>
      <w:pPr>
        <w:pStyle w:val="ListBullet"/>
        <w:ind w:left="360" w:hanging="360"/>
      </w:pPr>
      <w:r>
        <w:rPr>
          <w:rFonts w:ascii="Calibri" w:hAnsi="Calibri"/>
          <w:b/>
          <w:color w:val="525866"/>
          <w:sz w:val="22"/>
        </w:rPr>
        <w:t xml:space="preserve">International consumer business growing 12%+ (Direct → AIZ Connected Living &amp; Global Automotive): </w:t>
      </w:r>
      <w:r>
        <w:rPr>
          <w:rFonts w:ascii="Calibri" w:hAnsi="Calibri"/>
          <w:color w:val="525866"/>
          <w:sz w:val="22"/>
        </w:rPr>
        <w:t>CB’s international consumer-related businesses (A&amp;H and personal lines) grew 12%+, with Latin America +15.6%, Asia +12%, and Europe +7.5%. This is a positive read-through for AIZ’s international Connected Living and Global Automotive operations, suggesting healthy consumer demand for protection products globally.</w:t>
      </w:r>
    </w:p>
    <w:p>
      <w:pPr>
        <w:pStyle w:val="ListBullet"/>
        <w:ind w:left="360" w:hanging="360"/>
      </w:pPr>
      <w:r>
        <w:rPr>
          <w:rFonts w:ascii="Calibri" w:hAnsi="Calibri"/>
          <w:b/>
          <w:color w:val="525866"/>
          <w:sz w:val="22"/>
        </w:rPr>
        <w:t xml:space="preserve">Commercial property pricing softening (Weak caution → AIZ Global Housing): </w:t>
      </w:r>
      <w:r>
        <w:rPr>
          <w:rFonts w:ascii="Calibri" w:hAnsi="Calibri"/>
          <w:color w:val="525866"/>
          <w:sz w:val="22"/>
        </w:rPr>
        <w:t>CB noted that “soft market conditions have begun to spread beyond property to more casualty lines,” with overall property pricing down ~6% and shared/layered major specialty down 12%. However, middle market and small commercial property pricing was up 2.3%, and AIZ’s lender-placed business is structurally insulated from commercial property pricing cycles. Read-through is weak but worth monitoring.</w:t>
      </w:r>
    </w:p>
    <w:p>
      <w:pPr>
        <w:pStyle w:val="ListBullet"/>
        <w:ind w:left="360" w:hanging="360"/>
      </w:pPr>
      <w:r>
        <w:rPr>
          <w:rFonts w:ascii="Calibri" w:hAnsi="Calibri"/>
          <w:b/>
          <w:color w:val="525866"/>
          <w:sz w:val="22"/>
        </w:rPr>
        <w:t xml:space="preserve">Weather-related cat losses of $475M (Moderate → AIZ Global Housing): </w:t>
      </w:r>
      <w:r>
        <w:rPr>
          <w:rFonts w:ascii="Calibri" w:hAnsi="Calibri"/>
          <w:color w:val="525866"/>
          <w:sz w:val="22"/>
        </w:rPr>
        <w:t>CB reported $475M of pre-tax cat losses “principally from weather-related events in the U.S.” This is a moderate read-through for AIZ’s Global Housing segment — while CB’s cat exposure is primarily commercial and high-net-worth, the weather events that drove CB’s losses could also affect AIZ’s residential property book. The magnitude ($475M for CB) suggests Q2 was not entirely benign from a weather perspective.</w:t>
      </w:r>
    </w:p>
    <w:p>
      <w:pPr>
        <w:pStyle w:val="Heading3"/>
      </w:pPr>
      <w:r>
        <w:rPr>
          <w:rFonts w:ascii="Calibri" w:hAnsi="Calibri"/>
          <w:b/>
          <w:color w:val="3B4259"/>
          <w:sz w:val="24"/>
        </w:rPr>
        <w:t>6.5 Peer Read-Through Summary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Theme</w:t>
            </w:r>
          </w:p>
        </w:tc>
        <w:tc>
          <w:tcPr>
            <w:tcW w:type="dxa" w:w="1728"/>
            <w:shd w:val="clear" w:color="auto" w:fill="3B4259"/>
          </w:tcPr>
          <w:p>
            <w:r>
              <w:rPr>
                <w:rFonts w:ascii="Calibri" w:hAnsi="Calibri"/>
                <w:b/>
                <w:color w:val="FFFFFF"/>
                <w:sz w:val="22"/>
              </w:rPr>
              <w:t>Peers Citing</w:t>
            </w:r>
          </w:p>
        </w:tc>
        <w:tc>
          <w:tcPr>
            <w:tcW w:type="dxa" w:w="1728"/>
            <w:shd w:val="clear" w:color="auto" w:fill="3B4259"/>
          </w:tcPr>
          <w:p>
            <w:r>
              <w:rPr>
                <w:rFonts w:ascii="Calibri" w:hAnsi="Calibri"/>
                <w:b/>
                <w:color w:val="FFFFFF"/>
                <w:sz w:val="22"/>
              </w:rPr>
              <w:t>AIZ Segment</w:t>
            </w:r>
          </w:p>
        </w:tc>
        <w:tc>
          <w:tcPr>
            <w:tcW w:type="dxa" w:w="1728"/>
            <w:shd w:val="clear" w:color="auto" w:fill="3B4259"/>
          </w:tcPr>
          <w:p>
            <w:r>
              <w:rPr>
                <w:rFonts w:ascii="Calibri" w:hAnsi="Calibri"/>
                <w:b/>
                <w:color w:val="FFFFFF"/>
                <w:sz w:val="22"/>
              </w:rPr>
              <w:t>Direction</w:t>
            </w:r>
          </w:p>
        </w:tc>
        <w:tc>
          <w:tcPr>
            <w:tcW w:type="dxa" w:w="1728"/>
            <w:shd w:val="clear" w:color="auto" w:fill="3B4259"/>
          </w:tcPr>
          <w:p>
            <w:r>
              <w:rPr>
                <w:rFonts w:ascii="Calibri" w:hAnsi="Calibri"/>
                <w:b/>
                <w:color w:val="FFFFFF"/>
                <w:sz w:val="22"/>
              </w:rPr>
              <w:t>Strength</w:t>
            </w:r>
          </w:p>
        </w:tc>
      </w:tr>
      <w:tr>
        <w:tc>
          <w:tcPr>
            <w:tcW w:type="dxa" w:w="1728"/>
          </w:tcPr>
          <w:p>
            <w:r>
              <w:rPr>
                <w:rFonts w:ascii="Calibri" w:hAnsi="Calibri"/>
                <w:sz w:val="22"/>
              </w:rPr>
              <w:t>Benign Q2 cat experience</w:t>
            </w:r>
          </w:p>
        </w:tc>
        <w:tc>
          <w:tcPr>
            <w:tcW w:type="dxa" w:w="1728"/>
          </w:tcPr>
          <w:p>
            <w:r>
              <w:rPr>
                <w:rFonts w:ascii="Calibri" w:hAnsi="Calibri"/>
                <w:sz w:val="22"/>
              </w:rPr>
              <w:t>TRV, WRB, HIG</w:t>
            </w:r>
          </w:p>
        </w:tc>
        <w:tc>
          <w:tcPr>
            <w:tcW w:type="dxa" w:w="1728"/>
          </w:tcPr>
          <w:p>
            <w:r>
              <w:rPr>
                <w:rFonts w:ascii="Calibri" w:hAnsi="Calibri"/>
                <w:sz w:val="22"/>
              </w:rPr>
              <w:t>Global Housing</w:t>
            </w:r>
          </w:p>
        </w:tc>
        <w:tc>
          <w:tcPr>
            <w:tcW w:type="dxa" w:w="1728"/>
          </w:tcPr>
          <w:p>
            <w:r>
              <w:rPr>
                <w:rFonts w:ascii="Calibri" w:hAnsi="Calibri"/>
                <w:b/>
                <w:color w:val="30A46C"/>
                <w:sz w:val="22"/>
              </w:rPr>
              <w:t>↑ Positive</w:t>
            </w:r>
          </w:p>
        </w:tc>
        <w:tc>
          <w:tcPr>
            <w:tcW w:type="dxa" w:w="1728"/>
          </w:tcPr>
          <w:p>
            <w:r>
              <w:rPr>
                <w:rFonts w:ascii="Calibri" w:hAnsi="Calibri"/>
                <w:sz w:val="22"/>
              </w:rPr>
              <w:t>Direct</w:t>
            </w:r>
          </w:p>
        </w:tc>
      </w:tr>
      <w:tr>
        <w:tc>
          <w:tcPr>
            <w:tcW w:type="dxa" w:w="1728"/>
          </w:tcPr>
          <w:p>
            <w:r>
              <w:rPr>
                <w:rFonts w:ascii="Calibri" w:hAnsi="Calibri"/>
                <w:sz w:val="22"/>
              </w:rPr>
              <w:t>Favorable PYD in home &amp; auto</w:t>
            </w:r>
          </w:p>
        </w:tc>
        <w:tc>
          <w:tcPr>
            <w:tcW w:type="dxa" w:w="1728"/>
          </w:tcPr>
          <w:p>
            <w:r>
              <w:rPr>
                <w:rFonts w:ascii="Calibri" w:hAnsi="Calibri"/>
                <w:sz w:val="22"/>
              </w:rPr>
              <w:t>TRV, HIG</w:t>
            </w:r>
          </w:p>
        </w:tc>
        <w:tc>
          <w:tcPr>
            <w:tcW w:type="dxa" w:w="1728"/>
          </w:tcPr>
          <w:p>
            <w:r>
              <w:rPr>
                <w:rFonts w:ascii="Calibri" w:hAnsi="Calibri"/>
                <w:sz w:val="22"/>
              </w:rPr>
              <w:t>Global Housing, Global Auto</w:t>
            </w:r>
          </w:p>
        </w:tc>
        <w:tc>
          <w:tcPr>
            <w:tcW w:type="dxa" w:w="1728"/>
          </w:tcPr>
          <w:p>
            <w:r>
              <w:rPr>
                <w:rFonts w:ascii="Calibri" w:hAnsi="Calibri"/>
                <w:b/>
                <w:color w:val="30A46C"/>
                <w:sz w:val="22"/>
              </w:rPr>
              <w:t>↑ Positive</w:t>
            </w:r>
          </w:p>
        </w:tc>
        <w:tc>
          <w:tcPr>
            <w:tcW w:type="dxa" w:w="1728"/>
          </w:tcPr>
          <w:p>
            <w:r>
              <w:rPr>
                <w:rFonts w:ascii="Calibri" w:hAnsi="Calibri"/>
                <w:sz w:val="22"/>
              </w:rPr>
              <w:t>Direct</w:t>
            </w:r>
          </w:p>
        </w:tc>
      </w:tr>
      <w:tr>
        <w:tc>
          <w:tcPr>
            <w:tcW w:type="dxa" w:w="1728"/>
          </w:tcPr>
          <w:p>
            <w:r>
              <w:rPr>
                <w:rFonts w:ascii="Calibri" w:hAnsi="Calibri"/>
                <w:sz w:val="22"/>
              </w:rPr>
              <w:t>Strong auto loss ratios / rate adequacy achieved</w:t>
            </w:r>
          </w:p>
        </w:tc>
        <w:tc>
          <w:tcPr>
            <w:tcW w:type="dxa" w:w="1728"/>
          </w:tcPr>
          <w:p>
            <w:r>
              <w:rPr>
                <w:rFonts w:ascii="Calibri" w:hAnsi="Calibri"/>
                <w:sz w:val="22"/>
              </w:rPr>
              <w:t>TRV, HIG</w:t>
            </w:r>
          </w:p>
        </w:tc>
        <w:tc>
          <w:tcPr>
            <w:tcW w:type="dxa" w:w="1728"/>
          </w:tcPr>
          <w:p>
            <w:r>
              <w:rPr>
                <w:rFonts w:ascii="Calibri" w:hAnsi="Calibri"/>
                <w:sz w:val="22"/>
              </w:rPr>
              <w:t>Global Automotive</w:t>
            </w:r>
          </w:p>
        </w:tc>
        <w:tc>
          <w:tcPr>
            <w:tcW w:type="dxa" w:w="1728"/>
          </w:tcPr>
          <w:p>
            <w:r>
              <w:rPr>
                <w:rFonts w:ascii="Calibri" w:hAnsi="Calibri"/>
                <w:b/>
                <w:color w:val="30A46C"/>
                <w:sz w:val="22"/>
              </w:rPr>
              <w:t>↑ Positive</w:t>
            </w:r>
          </w:p>
        </w:tc>
        <w:tc>
          <w:tcPr>
            <w:tcW w:type="dxa" w:w="1728"/>
          </w:tcPr>
          <w:p>
            <w:r>
              <w:rPr>
                <w:rFonts w:ascii="Calibri" w:hAnsi="Calibri"/>
                <w:sz w:val="22"/>
              </w:rPr>
              <w:t>Direct</w:t>
            </w:r>
          </w:p>
        </w:tc>
      </w:tr>
      <w:tr>
        <w:tc>
          <w:tcPr>
            <w:tcW w:type="dxa" w:w="1728"/>
          </w:tcPr>
          <w:p>
            <w:r>
              <w:rPr>
                <w:rFonts w:ascii="Calibri" w:hAnsi="Calibri"/>
                <w:sz w:val="22"/>
              </w:rPr>
              <w:t>Home pricing still firm (mid-to-high single digits)</w:t>
            </w:r>
          </w:p>
        </w:tc>
        <w:tc>
          <w:tcPr>
            <w:tcW w:type="dxa" w:w="1728"/>
          </w:tcPr>
          <w:p>
            <w:r>
              <w:rPr>
                <w:rFonts w:ascii="Calibri" w:hAnsi="Calibri"/>
                <w:sz w:val="22"/>
              </w:rPr>
              <w:t>TRV, HIG</w:t>
            </w:r>
          </w:p>
        </w:tc>
        <w:tc>
          <w:tcPr>
            <w:tcW w:type="dxa" w:w="1728"/>
          </w:tcPr>
          <w:p>
            <w:r>
              <w:rPr>
                <w:rFonts w:ascii="Calibri" w:hAnsi="Calibri"/>
                <w:sz w:val="22"/>
              </w:rPr>
              <w:t>Global Housing</w:t>
            </w:r>
          </w:p>
        </w:tc>
        <w:tc>
          <w:tcPr>
            <w:tcW w:type="dxa" w:w="1728"/>
          </w:tcPr>
          <w:p>
            <w:r>
              <w:rPr>
                <w:rFonts w:ascii="Calibri" w:hAnsi="Calibri"/>
                <w:b/>
                <w:color w:val="30A46C"/>
                <w:sz w:val="22"/>
              </w:rPr>
              <w:t>↑ Positive</w:t>
            </w:r>
          </w:p>
        </w:tc>
        <w:tc>
          <w:tcPr>
            <w:tcW w:type="dxa" w:w="1728"/>
          </w:tcPr>
          <w:p>
            <w:r>
              <w:rPr>
                <w:rFonts w:ascii="Calibri" w:hAnsi="Calibri"/>
                <w:sz w:val="22"/>
              </w:rPr>
              <w:t>Direct</w:t>
            </w:r>
          </w:p>
        </w:tc>
      </w:tr>
      <w:tr>
        <w:tc>
          <w:tcPr>
            <w:tcW w:type="dxa" w:w="1728"/>
          </w:tcPr>
          <w:p>
            <w:r>
              <w:rPr>
                <w:rFonts w:ascii="Calibri" w:hAnsi="Calibri"/>
                <w:sz w:val="22"/>
              </w:rPr>
              <w:t>NII up 11–22% YoY; new money rates above book yield</w:t>
            </w:r>
          </w:p>
        </w:tc>
        <w:tc>
          <w:tcPr>
            <w:tcW w:type="dxa" w:w="1728"/>
          </w:tcPr>
          <w:p>
            <w:r>
              <w:rPr>
                <w:rFonts w:ascii="Calibri" w:hAnsi="Calibri"/>
                <w:sz w:val="22"/>
              </w:rPr>
              <w:t>TRV, HIG, WRB, CB</w:t>
            </w:r>
          </w:p>
        </w:tc>
        <w:tc>
          <w:tcPr>
            <w:tcW w:type="dxa" w:w="1728"/>
          </w:tcPr>
          <w:p>
            <w:r>
              <w:rPr>
                <w:rFonts w:ascii="Calibri" w:hAnsi="Calibri"/>
                <w:sz w:val="22"/>
              </w:rPr>
              <w:t>All Segments</w:t>
            </w:r>
          </w:p>
        </w:tc>
        <w:tc>
          <w:tcPr>
            <w:tcW w:type="dxa" w:w="1728"/>
          </w:tcPr>
          <w:p>
            <w:r>
              <w:rPr>
                <w:rFonts w:ascii="Calibri" w:hAnsi="Calibri"/>
                <w:b/>
                <w:color w:val="30A46C"/>
                <w:sz w:val="22"/>
              </w:rPr>
              <w:t>↑ Positive</w:t>
            </w:r>
          </w:p>
        </w:tc>
        <w:tc>
          <w:tcPr>
            <w:tcW w:type="dxa" w:w="1728"/>
          </w:tcPr>
          <w:p>
            <w:r>
              <w:rPr>
                <w:rFonts w:ascii="Calibri" w:hAnsi="Calibri"/>
                <w:sz w:val="22"/>
              </w:rPr>
              <w:t>Direct</w:t>
            </w:r>
          </w:p>
        </w:tc>
      </w:tr>
      <w:tr>
        <w:tc>
          <w:tcPr>
            <w:tcW w:type="dxa" w:w="1728"/>
          </w:tcPr>
          <w:p>
            <w:r>
              <w:rPr>
                <w:rFonts w:ascii="Calibri" w:hAnsi="Calibri"/>
                <w:sz w:val="22"/>
              </w:rPr>
              <w:t>AI driving 20%+ underwriting efficiency gains</w:t>
            </w:r>
          </w:p>
        </w:tc>
        <w:tc>
          <w:tcPr>
            <w:tcW w:type="dxa" w:w="1728"/>
          </w:tcPr>
          <w:p>
            <w:r>
              <w:rPr>
                <w:rFonts w:ascii="Calibri" w:hAnsi="Calibri"/>
                <w:sz w:val="22"/>
              </w:rPr>
              <w:t>WRB, TRV</w:t>
            </w:r>
          </w:p>
        </w:tc>
        <w:tc>
          <w:tcPr>
            <w:tcW w:type="dxa" w:w="1728"/>
          </w:tcPr>
          <w:p>
            <w:r>
              <w:rPr>
                <w:rFonts w:ascii="Calibri" w:hAnsi="Calibri"/>
                <w:sz w:val="22"/>
              </w:rPr>
              <w:t>Connected Living, All Segments</w:t>
            </w:r>
          </w:p>
        </w:tc>
        <w:tc>
          <w:tcPr>
            <w:tcW w:type="dxa" w:w="1728"/>
          </w:tcPr>
          <w:p>
            <w:r>
              <w:rPr>
                <w:rFonts w:ascii="Calibri" w:hAnsi="Calibri"/>
                <w:b/>
                <w:color w:val="30A46C"/>
                <w:sz w:val="22"/>
              </w:rPr>
              <w:t>↑ Positive</w:t>
            </w:r>
          </w:p>
        </w:tc>
        <w:tc>
          <w:tcPr>
            <w:tcW w:type="dxa" w:w="1728"/>
          </w:tcPr>
          <w:p>
            <w:r>
              <w:rPr>
                <w:rFonts w:ascii="Calibri" w:hAnsi="Calibri"/>
                <w:sz w:val="22"/>
              </w:rPr>
              <w:t>Direct</w:t>
            </w:r>
          </w:p>
        </w:tc>
      </w:tr>
      <w:tr>
        <w:tc>
          <w:tcPr>
            <w:tcW w:type="dxa" w:w="1728"/>
          </w:tcPr>
          <w:p>
            <w:r>
              <w:rPr>
                <w:rFonts w:ascii="Calibri" w:hAnsi="Calibri"/>
                <w:sz w:val="22"/>
              </w:rPr>
              <w:t>Property market complacency / pricing softening in large commercial</w:t>
            </w:r>
          </w:p>
        </w:tc>
        <w:tc>
          <w:tcPr>
            <w:tcW w:type="dxa" w:w="1728"/>
          </w:tcPr>
          <w:p>
            <w:r>
              <w:rPr>
                <w:rFonts w:ascii="Calibri" w:hAnsi="Calibri"/>
                <w:sz w:val="22"/>
              </w:rPr>
              <w:t>WRB, CB</w:t>
            </w:r>
          </w:p>
        </w:tc>
        <w:tc>
          <w:tcPr>
            <w:tcW w:type="dxa" w:w="1728"/>
          </w:tcPr>
          <w:p>
            <w:r>
              <w:rPr>
                <w:rFonts w:ascii="Calibri" w:hAnsi="Calibri"/>
                <w:sz w:val="22"/>
              </w:rPr>
              <w:t>Global Housing</w:t>
            </w:r>
          </w:p>
        </w:tc>
        <w:tc>
          <w:tcPr>
            <w:tcW w:type="dxa" w:w="1728"/>
          </w:tcPr>
          <w:p>
            <w:r>
              <w:rPr>
                <w:rFonts w:ascii="Calibri" w:hAnsi="Calibri"/>
                <w:b/>
                <w:color w:val="E5484D"/>
                <w:sz w:val="22"/>
              </w:rPr>
              <w:t>↓ Caution</w:t>
            </w:r>
          </w:p>
        </w:tc>
        <w:tc>
          <w:tcPr>
            <w:tcW w:type="dxa" w:w="1728"/>
          </w:tcPr>
          <w:p>
            <w:r>
              <w:rPr>
                <w:rFonts w:ascii="Calibri" w:hAnsi="Calibri"/>
                <w:sz w:val="22"/>
              </w:rPr>
              <w:t>Moderate (AIZ is lender-placed / residential, not large commercial)</w:t>
            </w:r>
          </w:p>
        </w:tc>
      </w:tr>
      <w:tr>
        <w:tc>
          <w:tcPr>
            <w:tcW w:type="dxa" w:w="1728"/>
          </w:tcPr>
          <w:p>
            <w:r>
              <w:rPr>
                <w:rFonts w:ascii="Calibri" w:hAnsi="Calibri"/>
                <w:sz w:val="22"/>
              </w:rPr>
              <w:t>Commercial auto liability adverse development (severity / attorney involvement)</w:t>
            </w:r>
          </w:p>
        </w:tc>
        <w:tc>
          <w:tcPr>
            <w:tcW w:type="dxa" w:w="1728"/>
          </w:tcPr>
          <w:p>
            <w:r>
              <w:rPr>
                <w:rFonts w:ascii="Calibri" w:hAnsi="Calibri"/>
                <w:sz w:val="22"/>
              </w:rPr>
              <w:t>HIG</w:t>
            </w:r>
          </w:p>
        </w:tc>
        <w:tc>
          <w:tcPr>
            <w:tcW w:type="dxa" w:w="1728"/>
          </w:tcPr>
          <w:p>
            <w:r>
              <w:rPr>
                <w:rFonts w:ascii="Calibri" w:hAnsi="Calibri"/>
                <w:sz w:val="22"/>
              </w:rPr>
              <w:t>Global Automotive</w:t>
            </w:r>
          </w:p>
        </w:tc>
        <w:tc>
          <w:tcPr>
            <w:tcW w:type="dxa" w:w="1728"/>
          </w:tcPr>
          <w:p>
            <w:r>
              <w:rPr>
                <w:rFonts w:ascii="Calibri" w:hAnsi="Calibri"/>
                <w:b/>
                <w:color w:val="E5484D"/>
                <w:sz w:val="22"/>
              </w:rPr>
              <w:t>↓ Caution</w:t>
            </w:r>
          </w:p>
        </w:tc>
        <w:tc>
          <w:tcPr>
            <w:tcW w:type="dxa" w:w="1728"/>
          </w:tcPr>
          <w:p>
            <w:r>
              <w:rPr>
                <w:rFonts w:ascii="Calibri" w:hAnsi="Calibri"/>
                <w:sz w:val="22"/>
              </w:rPr>
              <w:t>Moderate (AIZ’s VSC/GAP products differ from traditional commercial auto liability)</w:t>
            </w:r>
          </w:p>
        </w:tc>
      </w:tr>
      <w:tr>
        <w:tc>
          <w:tcPr>
            <w:tcW w:type="dxa" w:w="1728"/>
          </w:tcPr>
          <w:p>
            <w:r>
              <w:rPr>
                <w:rFonts w:ascii="Calibri" w:hAnsi="Calibri"/>
                <w:sz w:val="22"/>
              </w:rPr>
              <w:t>International consumer protection demand strong</w:t>
            </w:r>
          </w:p>
        </w:tc>
        <w:tc>
          <w:tcPr>
            <w:tcW w:type="dxa" w:w="1728"/>
          </w:tcPr>
          <w:p>
            <w:r>
              <w:rPr>
                <w:rFonts w:ascii="Calibri" w:hAnsi="Calibri"/>
                <w:sz w:val="22"/>
              </w:rPr>
              <w:t>CB</w:t>
            </w:r>
          </w:p>
        </w:tc>
        <w:tc>
          <w:tcPr>
            <w:tcW w:type="dxa" w:w="1728"/>
          </w:tcPr>
          <w:p>
            <w:r>
              <w:rPr>
                <w:rFonts w:ascii="Calibri" w:hAnsi="Calibri"/>
                <w:sz w:val="22"/>
              </w:rPr>
              <w:t>Connected Living, Global Auto (International)</w:t>
            </w:r>
          </w:p>
        </w:tc>
        <w:tc>
          <w:tcPr>
            <w:tcW w:type="dxa" w:w="1728"/>
          </w:tcPr>
          <w:p>
            <w:r>
              <w:rPr>
                <w:rFonts w:ascii="Calibri" w:hAnsi="Calibri"/>
                <w:b/>
                <w:color w:val="30A46C"/>
                <w:sz w:val="22"/>
              </w:rPr>
              <w:t>↑ Positive</w:t>
            </w:r>
          </w:p>
        </w:tc>
        <w:tc>
          <w:tcPr>
            <w:tcW w:type="dxa" w:w="1728"/>
          </w:tcPr>
          <w:p>
            <w:r>
              <w:rPr>
                <w:rFonts w:ascii="Calibri" w:hAnsi="Calibri"/>
                <w:sz w:val="22"/>
              </w:rPr>
              <w:t>Direct</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finalization of AIZ’s 2026 catastrophe reinsurance program at materially lower cost (~$180M vs. ~$200M in 2025), which directly reduces the earnings drag from reinsurance premiums and improves the ex-cat earnings quality heading into Q2. No adverse material developments have emerged.</w:t>
      </w:r>
    </w:p>
    <w:p>
      <w:pPr>
        <w:pStyle w:val="ListBullet"/>
        <w:ind w:left="360" w:hanging="360"/>
      </w:pPr>
      <w:r>
        <w:rPr>
          <w:rFonts w:ascii="Calibri" w:hAnsi="Calibri"/>
          <w:b/>
          <w:color w:val="525866"/>
          <w:sz w:val="22"/>
        </w:rPr>
        <w:t xml:space="preserve">August 4, 2026 — Q2 2026 Earnings Release (After Market Close): </w:t>
      </w:r>
      <w:r>
        <w:rPr>
          <w:rFonts w:ascii="Calibri" w:hAnsi="Calibri"/>
          <w:color w:val="525866"/>
          <w:sz w:val="22"/>
        </w:rPr>
        <w:t>Assurant will release Q2 2026 results after market close on August 4, 2026, followed by a conference call on August 5, 2026 at 8:00 a.m. ET. Implication: The event is imminent; no pre-announcement or guidance update has been issued, suggesting results are tracking within the guided range.</w:t>
      </w:r>
    </w:p>
    <w:p>
      <w:pPr>
        <w:pStyle w:val="ListBullet"/>
        <w:ind w:left="360" w:hanging="360"/>
      </w:pPr>
      <w:r>
        <w:rPr>
          <w:rFonts w:ascii="Calibri" w:hAnsi="Calibri"/>
          <w:b/>
          <w:color w:val="525866"/>
          <w:sz w:val="22"/>
        </w:rPr>
        <w:t xml:space="preserve">May 5, 2026 — Q1 2026 Earnings: Full-Year Guidance Raised: </w:t>
      </w:r>
      <w:r>
        <w:rPr>
          <w:rFonts w:ascii="Calibri" w:hAnsi="Calibri"/>
          <w:color w:val="525866"/>
          <w:sz w:val="22"/>
        </w:rPr>
        <w:t>Assurant reported its “best quarter in history” with record Global Lifestyle earnings. Full-year Adj. EBITDA and EPS (ex-cats) guidance raised to low-single-digit growth; Global Lifestyle upgraded to ~10% growth; Housing improved to “decline only modestly.” Share repurchase guidance raised to $300–$350M (high end of initial range). Implication: Sets a higher bar for Q2 but also signals management confidence in the full-year trajectory.</w:t>
      </w:r>
    </w:p>
    <w:p>
      <w:pPr>
        <w:pStyle w:val="ListBullet"/>
        <w:ind w:left="360" w:hanging="360"/>
      </w:pPr>
      <w:r>
        <w:rPr>
          <w:rFonts w:ascii="Calibri" w:hAnsi="Calibri"/>
          <w:b/>
          <w:color w:val="525866"/>
          <w:sz w:val="22"/>
        </w:rPr>
        <w:t xml:space="preserve">April 1, 2026 — 2026 Cat Reinsurance Program Finalized at Lower Cost: </w:t>
      </w:r>
      <w:r>
        <w:rPr>
          <w:rFonts w:ascii="Calibri" w:hAnsi="Calibri"/>
          <w:color w:val="525866"/>
          <w:sz w:val="22"/>
        </w:rPr>
        <w:t>AIZ secured its 2026 catastrophe reinsurance program with ~40 highly rated reinsurers at an estimated cost of ~$180M (vs. ~$200M in 2025), reflecting favorable market pricing, portfolio strength, and lower Florida exposures. Per-event retention of $160M is consistent with 2025. Main U.S. program provides ~$1.6B of loss coverage; Florida protection is $1.8B. Implication: ~$20M annualized reinsurance cost savings is a direct earnings tailwind; lower Florida exposure reduces tail risk.</w:t>
      </w:r>
    </w:p>
    <w:p>
      <w:pPr>
        <w:pStyle w:val="ListBullet"/>
        <w:ind w:left="360" w:hanging="360"/>
      </w:pPr>
      <w:r>
        <w:rPr>
          <w:rFonts w:ascii="Calibri" w:hAnsi="Calibri"/>
          <w:b/>
          <w:color w:val="525866"/>
          <w:sz w:val="22"/>
        </w:rPr>
        <w:t xml:space="preserve">Q1 2026 — Four New Mobile Program Announcements: </w:t>
      </w:r>
      <w:r>
        <w:rPr>
          <w:rFonts w:ascii="Calibri" w:hAnsi="Calibri"/>
          <w:color w:val="525866"/>
          <w:sz w:val="22"/>
        </w:rPr>
        <w:t>AIZ announced T-Mobile/US Cellular migration, a new large carrier reverse logistics expansion, the Xfinity Mobile Plus lifetime protection plan, and the Verizon Straight Talk Protect launch. Nearly 69M devices protected globally as of Q1 2026. Implication: These programs will begin contributing to Connected Living revenue in Q2 2026 and beyond, supporting the ~10% Lifestyle EBITDA growth target.</w:t>
      </w:r>
    </w:p>
    <w:p>
      <w:pPr>
        <w:pStyle w:val="ListBullet"/>
        <w:ind w:left="360" w:hanging="360"/>
      </w:pPr>
      <w:r>
        <w:rPr>
          <w:rFonts w:ascii="Calibri" w:hAnsi="Calibri"/>
          <w:b/>
          <w:color w:val="525866"/>
          <w:sz w:val="22"/>
        </w:rPr>
        <w:t xml:space="preserve">Q1 2026 — Two Long-Term Lender-Placed Renewals (5M+ Loans): </w:t>
      </w:r>
      <w:r>
        <w:rPr>
          <w:rFonts w:ascii="Calibri" w:hAnsi="Calibri"/>
          <w:color w:val="525866"/>
          <w:sz w:val="22"/>
        </w:rPr>
        <w:t>AIZ completed two long-term renewals with large lender-placed partners representing over 5 million loans. Implication: Provides revenue visibility and reduces client concentration risk in Global Housing; supports the lender-placed growth thesis heading into Q2.</w:t>
      </w:r>
    </w:p>
    <w:p>
      <w:pPr>
        <w:pStyle w:val="ListBullet"/>
        <w:ind w:left="360" w:hanging="360"/>
      </w:pPr>
      <w:r>
        <w:rPr>
          <w:rFonts w:ascii="Calibri" w:hAnsi="Calibri"/>
          <w:b/>
          <w:color w:val="525866"/>
          <w:sz w:val="22"/>
        </w:rPr>
        <w:t xml:space="preserve">May 1, 2026 — Additional $30M in Share Repurchases Post-Q1: </w:t>
      </w:r>
      <w:r>
        <w:rPr>
          <w:rFonts w:ascii="Calibri" w:hAnsi="Calibri"/>
          <w:color w:val="525866"/>
          <w:sz w:val="22"/>
        </w:rPr>
        <w:t>From April 1 through May 1, 2026, AIZ repurchased ~133K shares for $30M. $620M remains under the current repurchase authorization. Implication: Demonstrates continued capital return commitment; EPS accretion from buybacks is a modest tailwind to Q2 EPS.</w:t>
      </w:r>
    </w:p>
    <w:p>
      <w:pPr>
        <w:pStyle w:val="ListBullet"/>
        <w:ind w:left="360" w:hanging="360"/>
      </w:pPr>
      <w:r>
        <w:rPr>
          <w:rFonts w:ascii="Calibri" w:hAnsi="Calibri"/>
          <w:b/>
          <w:color w:val="525866"/>
          <w:sz w:val="22"/>
        </w:rPr>
        <w:t xml:space="preserve">Sector Read-Through — TRV Q2 2026 Beat (July 17, 2026): </w:t>
      </w:r>
      <w:r>
        <w:rPr>
          <w:rFonts w:ascii="Calibri" w:hAnsi="Calibri"/>
          <w:color w:val="525866"/>
          <w:sz w:val="22"/>
        </w:rPr>
        <w:t>Travelers reported a strong Q2 with benign cat losses, favorable PYD in home and auto, and NII up 14%. The stock rose sharply, contributing to the sector re-rating that lifted AIZ and KIE in mid-July. Implication: Sets a positive tone for the P&amp;C insurance earnings season and raises expectations for AIZ’s Q2 print.</w:t>
      </w:r>
    </w:p>
    <w:p>
      <w:pPr>
        <w:pStyle w:val="ListBullet"/>
        <w:ind w:left="360" w:hanging="360"/>
      </w:pPr>
      <w:r>
        <w:rPr>
          <w:rFonts w:ascii="Calibri" w:hAnsi="Calibri"/>
          <w:b/>
          <w:color w:val="525866"/>
          <w:sz w:val="22"/>
        </w:rPr>
        <w:t xml:space="preserve">Analyst/Rating Activity — No Material Changes Identified: </w:t>
      </w:r>
      <w:r>
        <w:rPr>
          <w:rFonts w:ascii="Calibri" w:hAnsi="Calibri"/>
          <w:color w:val="525866"/>
          <w:sz w:val="22"/>
        </w:rPr>
        <w:t>No significant analyst rating changes or price target revisions have been identified in the post-Q1 period that would materially alter the consensus view.</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four insider transactions since Q1 earnings are sales, with two (CFO Meier and EVP Lonergan) executed under 10b5-1 plans — pre-scheduled and not discretionary. The two non-plan sales (DiRienzo and Rosenblum) are small in dollar terms. No open-market purchases have been filed. The absence of discretionary buying is not alarming given the stock’s strong run, but the lack of any insider buying at current levels is worth noting.</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Est.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Keith Meier</w:t>
            </w:r>
          </w:p>
        </w:tc>
        <w:tc>
          <w:tcPr>
            <w:tcW w:type="dxa" w:w="1234"/>
          </w:tcPr>
          <w:p>
            <w:r>
              <w:rPr>
                <w:rFonts w:ascii="Calibri" w:hAnsi="Calibri"/>
                <w:sz w:val="22"/>
              </w:rPr>
              <w:t>EVP, Chief Financial Officer</w:t>
            </w:r>
          </w:p>
        </w:tc>
        <w:tc>
          <w:tcPr>
            <w:tcW w:type="dxa" w:w="1234"/>
          </w:tcPr>
          <w:p>
            <w:r>
              <w:rPr>
                <w:rFonts w:ascii="Calibri" w:hAnsi="Calibri"/>
                <w:sz w:val="22"/>
              </w:rPr>
              <w:t>10b5-1 Planned Sale</w:t>
            </w:r>
          </w:p>
        </w:tc>
        <w:tc>
          <w:tcPr>
            <w:tcW w:type="dxa" w:w="1234"/>
          </w:tcPr>
          <w:p>
            <w:r>
              <w:rPr>
                <w:rFonts w:ascii="Calibri" w:hAnsi="Calibri"/>
                <w:sz w:val="22"/>
              </w:rPr>
              <w:t>25,000</w:t>
            </w:r>
          </w:p>
        </w:tc>
        <w:tc>
          <w:tcPr>
            <w:tcW w:type="dxa" w:w="1234"/>
          </w:tcPr>
          <w:p>
            <w:r>
              <w:rPr>
                <w:rFonts w:ascii="Calibri" w:hAnsi="Calibri"/>
                <w:sz w:val="22"/>
              </w:rPr>
              <w:t>~$6.4M</w:t>
            </w:r>
          </w:p>
        </w:tc>
        <w:tc>
          <w:tcPr>
            <w:tcW w:type="dxa" w:w="1234"/>
          </w:tcPr>
          <w:p>
            <w:r>
              <w:rPr>
                <w:rFonts w:ascii="Calibri" w:hAnsi="Calibri"/>
                <w:sz w:val="22"/>
              </w:rPr>
              <w:t>May 15, 2026</w:t>
            </w:r>
          </w:p>
        </w:tc>
        <w:tc>
          <w:tcPr>
            <w:tcW w:type="dxa" w:w="1234"/>
          </w:tcPr>
          <w:p>
            <w:r>
              <w:rPr>
                <w:rFonts w:ascii="Calibri" w:hAnsi="Calibri"/>
                <w:sz w:val="22"/>
              </w:rPr>
              <w:t>Pre-scheduled 10b5-1 plan; largest transaction by value; not discretionary</w:t>
            </w:r>
          </w:p>
        </w:tc>
      </w:tr>
      <w:tr>
        <w:tc>
          <w:tcPr>
            <w:tcW w:type="dxa" w:w="1234"/>
          </w:tcPr>
          <w:p>
            <w:r>
              <w:rPr>
                <w:rFonts w:ascii="Calibri" w:hAnsi="Calibri"/>
                <w:sz w:val="22"/>
              </w:rPr>
              <w:t>Jay Rosenblum</w:t>
            </w:r>
          </w:p>
        </w:tc>
        <w:tc>
          <w:tcPr>
            <w:tcW w:type="dxa" w:w="1234"/>
          </w:tcPr>
          <w:p>
            <w:r>
              <w:rPr>
                <w:rFonts w:ascii="Calibri" w:hAnsi="Calibri"/>
                <w:sz w:val="22"/>
              </w:rPr>
              <w:t>EVP, Chief Legal Officer</w:t>
            </w:r>
          </w:p>
        </w:tc>
        <w:tc>
          <w:tcPr>
            <w:tcW w:type="dxa" w:w="1234"/>
          </w:tcPr>
          <w:p>
            <w:r>
              <w:rPr>
                <w:rFonts w:ascii="Calibri" w:hAnsi="Calibri"/>
                <w:sz w:val="22"/>
              </w:rPr>
              <w:t>Open Market Sale</w:t>
            </w:r>
          </w:p>
        </w:tc>
        <w:tc>
          <w:tcPr>
            <w:tcW w:type="dxa" w:w="1234"/>
          </w:tcPr>
          <w:p>
            <w:r>
              <w:rPr>
                <w:rFonts w:ascii="Calibri" w:hAnsi="Calibri"/>
                <w:sz w:val="22"/>
              </w:rPr>
              <w:t>2,000</w:t>
            </w:r>
          </w:p>
        </w:tc>
        <w:tc>
          <w:tcPr>
            <w:tcW w:type="dxa" w:w="1234"/>
          </w:tcPr>
          <w:p>
            <w:r>
              <w:rPr>
                <w:rFonts w:ascii="Calibri" w:hAnsi="Calibri"/>
                <w:sz w:val="22"/>
              </w:rPr>
              <w:t>~$0.5M</w:t>
            </w:r>
          </w:p>
        </w:tc>
        <w:tc>
          <w:tcPr>
            <w:tcW w:type="dxa" w:w="1234"/>
          </w:tcPr>
          <w:p>
            <w:r>
              <w:rPr>
                <w:rFonts w:ascii="Calibri" w:hAnsi="Calibri"/>
                <w:sz w:val="22"/>
              </w:rPr>
              <w:t>May 14, 2026</w:t>
            </w:r>
          </w:p>
        </w:tc>
        <w:tc>
          <w:tcPr>
            <w:tcW w:type="dxa" w:w="1234"/>
          </w:tcPr>
          <w:p>
            <w:r>
              <w:rPr>
                <w:rFonts w:ascii="Calibri" w:hAnsi="Calibri"/>
                <w:sz w:val="22"/>
              </w:rPr>
              <w:t>Discretionary sale; small in dollar terms; no 10b5-1 plan indicated</w:t>
            </w:r>
          </w:p>
        </w:tc>
      </w:tr>
      <w:tr>
        <w:tc>
          <w:tcPr>
            <w:tcW w:type="dxa" w:w="1234"/>
          </w:tcPr>
          <w:p>
            <w:r>
              <w:rPr>
                <w:rFonts w:ascii="Calibri" w:hAnsi="Calibri"/>
                <w:sz w:val="22"/>
              </w:rPr>
              <w:t>Dimitry DiRienzo</w:t>
            </w:r>
          </w:p>
        </w:tc>
        <w:tc>
          <w:tcPr>
            <w:tcW w:type="dxa" w:w="1234"/>
          </w:tcPr>
          <w:p>
            <w:r>
              <w:rPr>
                <w:rFonts w:ascii="Calibri" w:hAnsi="Calibri"/>
                <w:sz w:val="22"/>
              </w:rPr>
              <w:t>SVP, CAO, Controller</w:t>
            </w:r>
          </w:p>
        </w:tc>
        <w:tc>
          <w:tcPr>
            <w:tcW w:type="dxa" w:w="1234"/>
          </w:tcPr>
          <w:p>
            <w:r>
              <w:rPr>
                <w:rFonts w:ascii="Calibri" w:hAnsi="Calibri"/>
                <w:sz w:val="22"/>
              </w:rPr>
              <w:t>Open Market Sale</w:t>
            </w:r>
          </w:p>
        </w:tc>
        <w:tc>
          <w:tcPr>
            <w:tcW w:type="dxa" w:w="1234"/>
          </w:tcPr>
          <w:p>
            <w:r>
              <w:rPr>
                <w:rFonts w:ascii="Calibri" w:hAnsi="Calibri"/>
                <w:sz w:val="22"/>
              </w:rPr>
              <w:t>2,000</w:t>
            </w:r>
          </w:p>
        </w:tc>
        <w:tc>
          <w:tcPr>
            <w:tcW w:type="dxa" w:w="1234"/>
          </w:tcPr>
          <w:p>
            <w:r>
              <w:rPr>
                <w:rFonts w:ascii="Calibri" w:hAnsi="Calibri"/>
                <w:sz w:val="22"/>
              </w:rPr>
              <w:t>~$0.5M</w:t>
            </w:r>
          </w:p>
        </w:tc>
        <w:tc>
          <w:tcPr>
            <w:tcW w:type="dxa" w:w="1234"/>
          </w:tcPr>
          <w:p>
            <w:r>
              <w:rPr>
                <w:rFonts w:ascii="Calibri" w:hAnsi="Calibri"/>
                <w:sz w:val="22"/>
              </w:rPr>
              <w:t>May 26, 2026</w:t>
            </w:r>
          </w:p>
        </w:tc>
        <w:tc>
          <w:tcPr>
            <w:tcW w:type="dxa" w:w="1234"/>
          </w:tcPr>
          <w:p>
            <w:r>
              <w:rPr>
                <w:rFonts w:ascii="Calibri" w:hAnsi="Calibri"/>
                <w:sz w:val="22"/>
              </w:rPr>
              <w:t>Discretionary sale; small in dollar terms; no 10b5-1 plan indicated</w:t>
            </w:r>
          </w:p>
        </w:tc>
      </w:tr>
      <w:tr>
        <w:tc>
          <w:tcPr>
            <w:tcW w:type="dxa" w:w="1234"/>
          </w:tcPr>
          <w:p>
            <w:r>
              <w:rPr>
                <w:rFonts w:ascii="Calibri" w:hAnsi="Calibri"/>
                <w:sz w:val="22"/>
              </w:rPr>
              <w:t>Robert Lonergan</w:t>
            </w:r>
          </w:p>
        </w:tc>
        <w:tc>
          <w:tcPr>
            <w:tcW w:type="dxa" w:w="1234"/>
          </w:tcPr>
          <w:p>
            <w:r>
              <w:rPr>
                <w:rFonts w:ascii="Calibri" w:hAnsi="Calibri"/>
                <w:sz w:val="22"/>
              </w:rPr>
              <w:t>EVP, CSTO</w:t>
            </w:r>
          </w:p>
        </w:tc>
        <w:tc>
          <w:tcPr>
            <w:tcW w:type="dxa" w:w="1234"/>
          </w:tcPr>
          <w:p>
            <w:r>
              <w:rPr>
                <w:rFonts w:ascii="Calibri" w:hAnsi="Calibri"/>
                <w:sz w:val="22"/>
              </w:rPr>
              <w:t>10b5-1 Planned Sale</w:t>
            </w:r>
          </w:p>
        </w:tc>
        <w:tc>
          <w:tcPr>
            <w:tcW w:type="dxa" w:w="1234"/>
          </w:tcPr>
          <w:p>
            <w:r>
              <w:rPr>
                <w:rFonts w:ascii="Calibri" w:hAnsi="Calibri"/>
                <w:sz w:val="22"/>
              </w:rPr>
              <w:t>7,000</w:t>
            </w:r>
          </w:p>
        </w:tc>
        <w:tc>
          <w:tcPr>
            <w:tcW w:type="dxa" w:w="1234"/>
          </w:tcPr>
          <w:p>
            <w:r>
              <w:rPr>
                <w:rFonts w:ascii="Calibri" w:hAnsi="Calibri"/>
                <w:sz w:val="22"/>
              </w:rPr>
              <w:t>~$1.9M</w:t>
            </w:r>
          </w:p>
        </w:tc>
        <w:tc>
          <w:tcPr>
            <w:tcW w:type="dxa" w:w="1234"/>
          </w:tcPr>
          <w:p>
            <w:r>
              <w:rPr>
                <w:rFonts w:ascii="Calibri" w:hAnsi="Calibri"/>
                <w:sz w:val="22"/>
              </w:rPr>
              <w:t>June 22, 2026</w:t>
            </w:r>
          </w:p>
        </w:tc>
        <w:tc>
          <w:tcPr>
            <w:tcW w:type="dxa" w:w="1234"/>
          </w:tcPr>
          <w:p>
            <w:r>
              <w:rPr>
                <w:rFonts w:ascii="Calibri" w:hAnsi="Calibri"/>
                <w:sz w:val="22"/>
              </w:rPr>
              <w:t>Pre-scheduled 10b5-1 plan; not discretionary</w:t>
            </w:r>
          </w:p>
        </w:tc>
      </w:tr>
    </w:tbl>
    <w:p>
      <w:r>
        <w:rPr>
          <w:rFonts w:ascii="Calibri" w:hAnsi="Calibri"/>
          <w:color w:val="525866"/>
          <w:sz w:val="22"/>
        </w:rPr>
        <w:t>All four transactions are sales. Two (Meier, Lonergan) are pre-scheduled 10b5-1 plan sales and carry no informational signal. The two discretionary sales (Rosenblum, DiRienzo) are small in aggregate (~$1M combined) and are consistent with routine post-vesting diversification. No open-market purchases have been filed since Q1 earnings. Given the stock’s +19% run since the Q1 print, the absence of insider buying is not unusual, but it does mean insiders are not adding conviction at current levels.</w:t>
      </w:r>
    </w:p>
    <w:p>
      <w:r>
        <w:rPr>
          <w:rFonts w:ascii="Calibri" w:hAnsi="Calibri"/>
          <w:i/>
          <w:color w:val="525866"/>
          <w:sz w:val="22"/>
        </w:rPr>
        <w:t>Source: SEC Form 4 Filings Database (Insider Transaction Data).</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