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AKAM thoroughly before writing the preview. Let me start by gathering recent earnings materials, filings, and news.Let me read the most recent earnings call transcript and release, plus gather more context.Now let me get stock price context and recent analyst/news sentiment.Let me pull the latest news and analyst sentiment heading into the print.I now have what I need. Here's the earnings preview.</w:t>
      </w:r>
    </w:p>
    <w:p>
      <w:r>
        <w:pict>
          <v:rect style="width:0;height:1.5pt" o:hralign="center" o:hrstd="t" o:hr="t"/>
        </w:pict>
      </w:r>
    </w:p>
    <w:bookmarkStart w:id="22" w:name="X38ee1caa0dfe3f39041466d421ddc53494ea824"/>
    <w:p>
      <w:pPr>
        <w:pStyle w:val="Heading1"/>
      </w:pPr>
      <w:r>
        <w:t xml:space="preserve">Akamai Technologies (AKAM) — Q2 FY2026 Earnings Preview</w:t>
      </w:r>
    </w:p>
    <w:bookmarkStart w:id="9" w:name="Xcf953fcac77955805279426d30b486388e5bb0a"/>
    <w:p>
      <w:pPr>
        <w:pStyle w:val="Heading3"/>
      </w:pPr>
      <w:r>
        <w:t xml:space="preserve">Report date: Thursday, August 6, 2026 (after market close) | Conference call to follow</w:t>
      </w:r>
    </w:p>
    <w:bookmarkEnd w:id="9"/>
    <w:bookmarkStart w:id="10" w:name="the-one-sentence-setup"/>
    <w:p>
      <w:pPr>
        <w:pStyle w:val="Heading2"/>
      </w:pPr>
      <w:r>
        <w:t xml:space="preserve">The one-sentence setup</w:t>
      </w:r>
    </w:p>
    <w:p>
      <w:pPr>
        <w:pStyle w:val="FirstParagraph"/>
      </w:pPr>
      <w:r>
        <w:t xml:space="preserve">Akamai walks into this print as a re-rated "AI infrastructure" story rather than the ex-growth CDN name it was a year ago — the Q2 numbers themselves are almost a sideshow. What matters is whether management can keep validating the pivot: RPO/backlog build from the Anthropic mega-deal, the cloud (CIS) growth trajectory into 2027, and the size of the next CapEx/GPU commitment.</w:t>
      </w:r>
    </w:p>
    <w:p>
      <w:r>
        <w:pict>
          <v:rect style="width:0;height:1.5pt" o:hralign="center" o:hrstd="t" o:hr="t"/>
        </w:pict>
      </w:r>
    </w:p>
    <w:bookmarkEnd w:id="10"/>
    <w:bookmarkStart w:id="11" w:name="where-the-stock-sits-going-in"/>
    <w:p>
      <w:pPr>
        <w:pStyle w:val="Heading2"/>
      </w:pPr>
      <w:r>
        <w:t xml:space="preserve">Where the stock sits going in</w:t>
      </w:r>
    </w:p>
    <w:p>
      <w:pPr>
        <w:pStyle w:val="Compact"/>
        <w:numPr>
          <w:ilvl w:val="0"/>
          <w:numId w:val="1001"/>
        </w:numPr>
      </w:pPr>
      <w:r>
        <w:rPr>
          <w:b/>
          <w:bCs/>
        </w:rPr>
        <w:t xml:space="preserve">Last price (Aug 5): ~$122.</w:t>
      </w:r>
      <w:r>
        <w:t xml:space="preserve"> </w:t>
      </w:r>
      <w:r>
        <w:t xml:space="preserve">The stock is up roughly</w:t>
      </w:r>
      <w:r>
        <w:t xml:space="preserve"> </w:t>
      </w:r>
      <w:r>
        <w:rPr>
          <w:b/>
          <w:bCs/>
        </w:rPr>
        <w:t xml:space="preserve">44% YTD</w:t>
      </w:r>
      <w:r>
        <w:t xml:space="preserve"> </w:t>
      </w:r>
      <w:r>
        <w:t xml:space="preserve">(started the year around $85) but sits about</w:t>
      </w:r>
      <w:r>
        <w:t xml:space="preserve"> </w:t>
      </w:r>
      <w:r>
        <w:rPr>
          <w:b/>
          <w:bCs/>
        </w:rPr>
        <w:t xml:space="preserve">~24% below its post-deal peak</w:t>
      </w:r>
      <w:r>
        <w:t xml:space="preserve"> </w:t>
      </w:r>
      <w:r>
        <w:t xml:space="preserve">near $160–161 (mid-May / early June).</w:t>
      </w:r>
    </w:p>
    <w:p>
      <w:pPr>
        <w:pStyle w:val="Compact"/>
        <w:numPr>
          <w:ilvl w:val="0"/>
          <w:numId w:val="1001"/>
        </w:numPr>
      </w:pPr>
      <w:r>
        <w:t xml:space="preserve">The re-rate was violent and event-driven: on the Q1 print (May 7 close</w:t>
      </w:r>
      <w:r>
        <w:t xml:space="preserve"> </w:t>
      </w:r>
      <m:oMath>
        <m:r>
          <m:t>116.69</m:t>
        </m:r>
        <m:r>
          <m:rPr>
            <m:sty m:val="p"/>
          </m:rPr>
          <m:t>)</m:t>
        </m:r>
        <m:r>
          <m:rPr>
            <m:sty m:val="p"/>
          </m:rPr>
          <m:t>,</m:t>
        </m:r>
        <m:r>
          <m:t>s</m:t>
        </m:r>
        <m:r>
          <m:t>h</m:t>
        </m:r>
        <m:r>
          <m:t>a</m:t>
        </m:r>
        <m:r>
          <m:t>r</m:t>
        </m:r>
        <m:r>
          <m:t>e</m:t>
        </m:r>
        <m:r>
          <m:t>s</m:t>
        </m:r>
        <m:r>
          <m:t>g</m:t>
        </m:r>
        <m:r>
          <m:t>a</m:t>
        </m:r>
        <m:r>
          <m:t>p</m:t>
        </m:r>
        <m:r>
          <m:t>p</m:t>
        </m:r>
        <m:r>
          <m:t>e</m:t>
        </m:r>
        <m:r>
          <m:t>d</m:t>
        </m:r>
        <m:r>
          <m:t>t</m:t>
        </m:r>
        <m:r>
          <m:t>o</m:t>
        </m:r>
        <m:r>
          <m:rPr>
            <m:sty m:val="p"/>
          </m:rPr>
          <m:t>*</m:t>
        </m:r>
        <m:r>
          <m:rPr>
            <m:sty m:val="p"/>
          </m:rPr>
          <m:t>*</m:t>
        </m:r>
      </m:oMath>
      <w:r>
        <w:t xml:space="preserve">147.71 (+27%)** the next session once the</w:t>
      </w:r>
      <w:r>
        <w:t xml:space="preserve"> </w:t>
      </w:r>
      <m:oMath>
        <m:r>
          <m:t>1.8</m:t>
        </m:r>
        <m:r>
          <m:t>B</m:t>
        </m:r>
        <m:r>
          <m:t>f</m:t>
        </m:r>
        <m:r>
          <m:t>r</m:t>
        </m:r>
        <m:r>
          <m:t>o</m:t>
        </m:r>
        <m:r>
          <m:t>n</m:t>
        </m:r>
        <m:r>
          <m:t>t</m:t>
        </m:r>
        <m:r>
          <m:t>i</m:t>
        </m:r>
        <m:r>
          <m:t>e</m:t>
        </m:r>
        <m:r>
          <m:t>r</m:t>
        </m:r>
        <m:r>
          <m:rPr>
            <m:sty m:val="p"/>
          </m:rPr>
          <m:t>−</m:t>
        </m:r>
        <m:r>
          <m:t>m</m:t>
        </m:r>
        <m:r>
          <m:t>o</m:t>
        </m:r>
        <m:r>
          <m:t>d</m:t>
        </m:r>
        <m:r>
          <m:t>e</m:t>
        </m:r>
        <m:r>
          <m:t>l</m:t>
        </m:r>
        <m:r>
          <m:t>d</m:t>
        </m:r>
        <m:r>
          <m:t>e</m:t>
        </m:r>
        <m:r>
          <m:t>a</m:t>
        </m:r>
        <m:r>
          <m:t>l</m:t>
        </m:r>
        <m:r>
          <m:t>w</m:t>
        </m:r>
        <m:r>
          <m:t>a</m:t>
        </m:r>
        <m:r>
          <m:t>s</m:t>
        </m:r>
        <m:r>
          <m:t>d</m:t>
        </m:r>
        <m:r>
          <m:t>i</m:t>
        </m:r>
        <m:r>
          <m:t>s</m:t>
        </m:r>
        <m:r>
          <m:t>c</m:t>
        </m:r>
        <m:r>
          <m:t>l</m:t>
        </m:r>
        <m:r>
          <m:t>o</m:t>
        </m:r>
        <m:r>
          <m:t>s</m:t>
        </m:r>
        <m:r>
          <m:t>e</m:t>
        </m:r>
        <m:r>
          <m:t>d</m:t>
        </m:r>
        <m:r>
          <m:rPr>
            <m:sty m:val="p"/>
          </m:rPr>
          <m:t>,</m:t>
        </m:r>
        <m:r>
          <m:t>t</m:t>
        </m:r>
        <m:r>
          <m:t>h</m:t>
        </m:r>
        <m:r>
          <m:t>e</m:t>
        </m:r>
        <m:r>
          <m:t>n</m:t>
        </m:r>
        <m:r>
          <m:t>r</m:t>
        </m:r>
        <m:r>
          <m:t>a</m:t>
        </m:r>
        <m:r>
          <m:t>n</m:t>
        </m:r>
        <m:r>
          <m:t>t</m:t>
        </m:r>
        <m:r>
          <m:t>o</m:t>
        </m:r>
        <m:r>
          <m:t> </m:t>
        </m:r>
      </m:oMath>
      <w:r>
        <w:t xml:space="preserve">161 before fading through June–July to a low near</w:t>
      </w:r>
      <w:r>
        <w:t xml:space="preserve"> </w:t>
      </w:r>
      <w:r>
        <w:rPr>
          <w:b/>
          <w:bCs/>
        </w:rPr>
        <w:t xml:space="preserve">$107 (Jul 29)</w:t>
      </w:r>
      <w:r>
        <w:t xml:space="preserve"> </w:t>
      </w:r>
      <w:r>
        <w:t xml:space="preserve">and recovering into the print.</w:t>
      </w:r>
    </w:p>
    <w:p>
      <w:pPr>
        <w:pStyle w:val="Compact"/>
        <w:numPr>
          <w:ilvl w:val="0"/>
          <w:numId w:val="1001"/>
        </w:numPr>
      </w:pPr>
      <w:r>
        <w:rPr>
          <w:b/>
          <w:bCs/>
        </w:rPr>
        <w:t xml:space="preserve">Sell-side price target ~$158</w:t>
      </w:r>
      <w:r>
        <w:t xml:space="preserve">, i.e., the Street still models meaningful upside, but the June–July drawdown says positioning has cooled and expectations are elevated. This is now a "show me the backlog" quarter.</w:t>
      </w:r>
    </w:p>
    <w:p>
      <w:r>
        <w:pict>
          <v:rect style="width:0;height:1.5pt" o:hralign="center" o:hrstd="t" o:hr="t"/>
        </w:pict>
      </w:r>
    </w:p>
    <w:bookmarkEnd w:id="11"/>
    <w:bookmarkStart w:id="12" w:name="consensus-vs-guidance-for-q2"/>
    <w:p>
      <w:pPr>
        <w:pStyle w:val="Heading2"/>
      </w:pPr>
      <w:r>
        <w:t xml:space="preserve">Consensus vs. guidance for Q2</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Company guide (given May 7)</w:t>
            </w:r>
          </w:p>
        </w:tc>
        <w:tc>
          <w:tcPr/>
          <w:p>
            <w:pPr>
              <w:pStyle w:val="Compact"/>
            </w:pPr>
            <w:r>
              <w:t xml:space="preserve">Street consensus</w:t>
            </w:r>
          </w:p>
        </w:tc>
        <w:tc>
          <w:tcPr/>
          <w:p>
            <w:pPr>
              <w:pStyle w:val="Compact"/>
            </w:pPr>
            <w:r>
              <w:t xml:space="preserve">Q2'25 actual</w:t>
            </w:r>
          </w:p>
        </w:tc>
      </w:tr>
      <w:tr>
        <w:tc>
          <w:tcPr/>
          <w:p>
            <w:pPr>
              <w:pStyle w:val="Compact"/>
            </w:pPr>
            <w:r>
              <w:t xml:space="preserve">Revenue</w:t>
            </w:r>
          </w:p>
        </w:tc>
        <w:tc>
          <w:tcPr/>
          <w:p>
            <w:pPr>
              <w:pStyle w:val="Compact"/>
            </w:pPr>
            <w:r>
              <w:t xml:space="preserve">$1,075M – $1,100M (+3–5% y/y)</w:t>
            </w:r>
          </w:p>
        </w:tc>
        <w:tc>
          <w:tcPr/>
          <w:p>
            <w:pPr>
              <w:pStyle w:val="Compact"/>
            </w:pPr>
            <w:r>
              <w:t xml:space="preserve">~$1.09B (+~4.6%)</w:t>
            </w:r>
          </w:p>
        </w:tc>
        <w:tc>
          <w:tcPr/>
          <w:p>
            <w:pPr>
              <w:pStyle w:val="Compact"/>
            </w:pPr>
            <w:r>
              <w:t xml:space="preserve">~$1.04B</w:t>
            </w:r>
          </w:p>
        </w:tc>
      </w:tr>
      <w:tr>
        <w:tc>
          <w:tcPr/>
          <w:p>
            <w:pPr>
              <w:pStyle w:val="Compact"/>
            </w:pPr>
            <w:r>
              <w:t xml:space="preserve">Non-GAAP EPS</w:t>
            </w:r>
          </w:p>
        </w:tc>
        <w:tc>
          <w:tcPr/>
          <w:p>
            <w:pPr>
              <w:pStyle w:val="Compact"/>
            </w:pPr>
            <w:r>
              <w:t xml:space="preserve">$1.45 – $1.65</w:t>
            </w:r>
          </w:p>
        </w:tc>
        <w:tc>
          <w:tcPr/>
          <w:p>
            <w:pPr>
              <w:pStyle w:val="Compact"/>
            </w:pPr>
            <w:r>
              <w:t xml:space="preserve">~$1.58 (−~8.7% y/y)</w:t>
            </w:r>
          </w:p>
        </w:tc>
        <w:tc>
          <w:tcPr/>
          <w:p>
            <w:pPr>
              <w:pStyle w:val="Compact"/>
            </w:pPr>
            <w:r>
              <w:t xml:space="preserve">~$1.73</w:t>
            </w:r>
          </w:p>
        </w:tc>
      </w:tr>
      <w:tr>
        <w:tc>
          <w:tcPr/>
          <w:p>
            <w:pPr>
              <w:pStyle w:val="Compact"/>
            </w:pPr>
            <w:r>
              <w:t xml:space="preserve">Non-GAAP op margin</w:t>
            </w:r>
          </w:p>
        </w:tc>
        <w:tc>
          <w:tcPr/>
          <w:p>
            <w:pPr>
              <w:pStyle w:val="Compact"/>
            </w:pPr>
            <w:r>
              <w:t xml:space="preserve">25–26%</w:t>
            </w:r>
          </w:p>
        </w:tc>
        <w:tc>
          <w:tcPr/>
          <w:p>
            <w:pPr>
              <w:pStyle w:val="Compact"/>
            </w:pPr>
            <w:r>
              <w:t xml:space="preserve">—</w:t>
            </w:r>
          </w:p>
        </w:tc>
        <w:tc>
          <w:tcPr/>
          <w:p>
            <w:pPr>
              <w:pStyle w:val="Compact"/>
            </w:pPr>
            <w:r>
              <w:t xml:space="preserve">~30%</w:t>
            </w:r>
          </w:p>
        </w:tc>
      </w:tr>
      <w:tr>
        <w:tc>
          <w:tcPr/>
          <w:p>
            <w:pPr>
              <w:pStyle w:val="Compact"/>
            </w:pPr>
            <w:r>
              <w:t xml:space="preserve">Adj. EBITDA margin</w:t>
            </w:r>
          </w:p>
        </w:tc>
        <w:tc>
          <w:tcPr/>
          <w:p>
            <w:pPr>
              <w:pStyle w:val="Compact"/>
            </w:pPr>
            <w:r>
              <w:t xml:space="preserve">~38–39%</w:t>
            </w:r>
          </w:p>
        </w:tc>
        <w:tc>
          <w:tcPr/>
          <w:p>
            <w:pPr>
              <w:pStyle w:val="Compact"/>
            </w:pPr>
            <w:r>
              <w:t xml:space="preserve">—</w:t>
            </w:r>
          </w:p>
        </w:tc>
        <w:tc>
          <w:tcPr/>
          <w:p>
            <w:pPr>
              <w:pStyle w:val="Compact"/>
            </w:pPr>
            <w:r>
              <w:t xml:space="preserve">~43%</w:t>
            </w:r>
          </w:p>
        </w:tc>
      </w:tr>
      <w:tr>
        <w:tc>
          <w:tcPr/>
          <w:p>
            <w:pPr>
              <w:pStyle w:val="Compact"/>
            </w:pPr>
            <w:r>
              <w:t xml:space="preserve">CapEx</w:t>
            </w:r>
          </w:p>
        </w:tc>
        <w:tc>
          <w:tcPr/>
          <w:p>
            <w:pPr>
              <w:pStyle w:val="Compact"/>
            </w:pPr>
            <m:oMath>
              <m:r>
                <m:t>433</m:t>
              </m:r>
              <m:r>
                <m:t>M</m:t>
              </m:r>
              <m:r>
                <m:rPr>
                  <m:sty m:val="p"/>
                </m:rPr>
                <m:t>–</m:t>
              </m:r>
            </m:oMath>
            <w:r>
              <w:t xml:space="preserve">453M (40–41% of rev)</w:t>
            </w:r>
          </w:p>
        </w:tc>
        <w:tc>
          <w:tcPr/>
          <w:p>
            <w:pPr>
              <w:pStyle w:val="Compact"/>
            </w:pPr>
            <w:r>
              <w:t xml:space="preserve">—</w:t>
            </w:r>
          </w:p>
        </w:tc>
        <w:tc>
          <w:tcPr/>
          <w:p>
            <w:pPr>
              <w:pStyle w:val="Compact"/>
            </w:pPr>
            <w:r>
              <w:t xml:space="preserve">—</w:t>
            </w:r>
          </w:p>
        </w:tc>
      </w:tr>
    </w:tbl>
    <w:p>
      <w:pPr>
        <w:pStyle w:val="BodyText"/>
      </w:pPr>
      <w:r>
        <w:t xml:space="preserve">Two things to internalize:</w:t>
      </w:r>
    </w:p>
    <w:p>
      <w:pPr>
        <w:pStyle w:val="Compact"/>
        <w:numPr>
          <w:ilvl w:val="0"/>
          <w:numId w:val="1002"/>
        </w:numPr>
      </w:pPr>
      <w:r>
        <w:rPr>
          <w:b/>
          <w:bCs/>
        </w:rPr>
        <w:t xml:space="preserve">This is a "declining EPS on rising revenue" quarter by design.</w:t>
      </w:r>
      <w:r>
        <w:t xml:space="preserve"> </w:t>
      </w:r>
      <w:r>
        <w:t xml:space="preserve">Margins are being deliberately compressed as Akamai front-loads colocation, depreciation and headcount to build the cloud platform. A y/y EPS decline is guided and expected — don't read it as deterioration.</w:t>
      </w:r>
    </w:p>
    <w:p>
      <w:pPr>
        <w:pStyle w:val="Compact"/>
        <w:numPr>
          <w:ilvl w:val="0"/>
          <w:numId w:val="1002"/>
        </w:numPr>
      </w:pPr>
      <w:r>
        <w:rPr>
          <w:b/>
          <w:bCs/>
        </w:rPr>
        <w:t xml:space="preserve">Akamai rarely misses revenue.</w:t>
      </w:r>
      <w:r>
        <w:t xml:space="preserve"> </w:t>
      </w:r>
      <w:r>
        <w:t xml:space="preserve">Last quarter it hit EPS exactly ($1.61 vs. $1.61) and met revenue. Zacks flags a slightly negative ESP (Most Accurate below consensus) and a Rank #3, so a big beat isn't the base case. The reaction will be driven by the call, not the headline.</w:t>
      </w:r>
    </w:p>
    <w:p>
      <w:r>
        <w:pict>
          <v:rect style="width:0;height:1.5pt" o:hralign="center" o:hrstd="t" o:hr="t"/>
        </w:pict>
      </w:r>
    </w:p>
    <w:bookmarkEnd w:id="12"/>
    <w:bookmarkStart w:id="18" w:name="Xe2b9191282e3ffccee680df7ff21451d028c420"/>
    <w:p>
      <w:pPr>
        <w:pStyle w:val="Heading2"/>
      </w:pPr>
      <w:r>
        <w:t xml:space="preserve">What actually matters: the 5 things to watch</w:t>
      </w:r>
    </w:p>
    <w:bookmarkStart w:id="13" w:name="X431674ea04677e850b7b8412e5c9065e387791e"/>
    <w:p>
      <w:pPr>
        <w:pStyle w:val="Heading3"/>
      </w:pPr>
      <w:r>
        <w:t xml:space="preserve">1. Anthropic ($1.8B / 7-year) backlog + RPO recognition</w:t>
      </w:r>
    </w:p>
    <w:p>
      <w:pPr>
        <w:pStyle w:val="FirstParagraph"/>
      </w:pPr>
      <w:r>
        <w:t xml:space="preserve">This is the single most important disclosure. CFO Ed McGowan said on the Q1 call that</w:t>
      </w:r>
      <w:r>
        <w:t xml:space="preserve"> </w:t>
      </w:r>
      <w:r>
        <w:rPr>
          <w:b/>
          <w:bCs/>
        </w:rPr>
        <w:t xml:space="preserve">most of the deal would land in RPO "next quarter" (i.e., this Q2)</w:t>
      </w:r>
      <w:r>
        <w:t xml:space="preserve">, with the rest flowing in as capacity is deployed. Investors should look for:</w:t>
      </w:r>
    </w:p>
    <w:p>
      <w:pPr>
        <w:pStyle w:val="Compact"/>
        <w:numPr>
          <w:ilvl w:val="0"/>
          <w:numId w:val="1003"/>
        </w:numPr>
      </w:pPr>
      <w:r>
        <w:t xml:space="preserve">A</w:t>
      </w:r>
      <w:r>
        <w:t xml:space="preserve"> </w:t>
      </w:r>
      <w:r>
        <w:rPr>
          <w:b/>
          <w:bCs/>
        </w:rPr>
        <w:t xml:space="preserve">large step-up in RPO/remaining performance obligations</w:t>
      </w:r>
      <w:r>
        <w:t xml:space="preserve"> </w:t>
      </w:r>
      <w:r>
        <w:t xml:space="preserve">as tangible proof the $1.8B is contracted (structured as dedicated capacity, recognized ratably like a subscription — no usage variability).</w:t>
      </w:r>
    </w:p>
    <w:p>
      <w:pPr>
        <w:pStyle w:val="Compact"/>
        <w:numPr>
          <w:ilvl w:val="0"/>
          <w:numId w:val="1003"/>
        </w:numPr>
      </w:pPr>
      <w:r>
        <w:t xml:space="preserve">Confirmation that</w:t>
      </w:r>
      <w:r>
        <w:t xml:space="preserve"> </w:t>
      </w:r>
      <w:r>
        <w:rPr>
          <w:b/>
          <w:bCs/>
        </w:rPr>
        <w:t xml:space="preserve">revenue begins in Q4'26 (~$20–25M)</w:t>
      </w:r>
      <w:r>
        <w:t xml:space="preserve">, ramps through 2027, and reaches full run-rate thereafter. Any slippage in the deployment timeline (chip delivery, colo build-out) would be a negative.</w:t>
      </w:r>
    </w:p>
    <w:p>
      <w:pPr>
        <w:pStyle w:val="Compact"/>
        <w:numPr>
          <w:ilvl w:val="0"/>
          <w:numId w:val="1003"/>
        </w:numPr>
      </w:pPr>
      <w:r>
        <w:t xml:space="preserve">Recall this is the counterparty</w:t>
      </w:r>
      <w:r>
        <w:t xml:space="preserve"> </w:t>
      </w:r>
      <w:r>
        <w:rPr>
          <w:b/>
          <w:bCs/>
        </w:rPr>
        <w:t xml:space="preserve">Bloomberg identified as Anthropic</w:t>
      </w:r>
      <w:r>
        <w:t xml:space="preserve"> </w:t>
      </w:r>
      <w:r>
        <w:t xml:space="preserve">— so watch for any commentary that de-risks (or complicates) that customer's own funding/compute plans.</w:t>
      </w:r>
    </w:p>
    <w:bookmarkEnd w:id="13"/>
    <w:bookmarkStart w:id="14" w:name="X04756d65cc9eb05bc4e089dc7b73cff37101825"/>
    <w:p>
      <w:pPr>
        <w:pStyle w:val="Heading3"/>
      </w:pPr>
      <w:r>
        <w:t xml:space="preserve">2. The next CapEx / GPU order — the "bullish surprise" lever</w:t>
      </w:r>
    </w:p>
    <w:p>
      <w:pPr>
        <w:pStyle w:val="FirstParagraph"/>
      </w:pPr>
      <w:r>
        <w:t xml:space="preserve">Management explicitly teased that</w:t>
      </w:r>
      <w:r>
        <w:t xml:space="preserve"> </w:t>
      </w:r>
      <w:r>
        <w:rPr>
          <w:b/>
          <w:bCs/>
        </w:rPr>
        <w:t xml:space="preserve">current GPU pipeline exceeds inventory</w:t>
      </w:r>
      <w:r>
        <w:t xml:space="preserve"> </w:t>
      </w:r>
      <w:r>
        <w:t xml:space="preserve">and that they may place</w:t>
      </w:r>
      <w:r>
        <w:t xml:space="preserve"> </w:t>
      </w:r>
      <w:r>
        <w:rPr>
          <w:b/>
          <w:bCs/>
        </w:rPr>
        <w:t xml:space="preserve">an additional GPU order in 2H'26 not yet in guidance</w:t>
      </w:r>
      <w:r>
        <w:t xml:space="preserve"> </w:t>
      </w:r>
      <w:r>
        <w:t xml:space="preserve">(they floated a ~$250M order size as a reference point, while stressing it could be larger). Key questions:</w:t>
      </w:r>
    </w:p>
    <w:p>
      <w:pPr>
        <w:pStyle w:val="Compact"/>
        <w:numPr>
          <w:ilvl w:val="0"/>
          <w:numId w:val="1004"/>
        </w:numPr>
      </w:pPr>
      <w:r>
        <w:t xml:space="preserve">Do they</w:t>
      </w:r>
      <w:r>
        <w:t xml:space="preserve"> </w:t>
      </w:r>
      <w:r>
        <w:rPr>
          <w:b/>
          <w:bCs/>
        </w:rPr>
        <w:t xml:space="preserve">raise full-year CapEx</w:t>
      </w:r>
      <w:r>
        <w:t xml:space="preserve"> </w:t>
      </w:r>
      <w:r>
        <w:t xml:space="preserve">(currently 40–42% of revenue, including ~$700M of 2H spend for the Anthropic deal)?</w:t>
      </w:r>
    </w:p>
    <w:p>
      <w:pPr>
        <w:pStyle w:val="Compact"/>
        <w:numPr>
          <w:ilvl w:val="0"/>
          <w:numId w:val="1004"/>
        </w:numPr>
      </w:pPr>
      <w:r>
        <w:t xml:space="preserve">An upsized order signals demand conversion and is a positive; but it also pressures near-term free cash flow, so the market's reaction will hinge on the</w:t>
      </w:r>
      <w:r>
        <w:t xml:space="preserve"> </w:t>
      </w:r>
      <w:r>
        <w:rPr>
          <w:b/>
          <w:bCs/>
        </w:rPr>
        <w:t xml:space="preserve">pipeline commentary that justifies it</w:t>
      </w:r>
      <w:r>
        <w:t xml:space="preserve">. Watch financing color — they have ~$1.7B cash + a $1B revolver and have said they can fund from internal cash "so far."</w:t>
      </w:r>
    </w:p>
    <w:bookmarkEnd w:id="14"/>
    <w:bookmarkStart w:id="15" w:name="Xb4afbcf27bc799c51fb7ce38699433bf694da24"/>
    <w:p>
      <w:pPr>
        <w:pStyle w:val="Heading3"/>
      </w:pPr>
      <w:r>
        <w:t xml:space="preserve">3. Cloud Infrastructure Services (CIS) trajectory</w:t>
      </w:r>
    </w:p>
    <w:p>
      <w:pPr>
        <w:pStyle w:val="FirstParagraph"/>
      </w:pPr>
      <w:r>
        <w:t xml:space="preserve">CIS is the whole thesis. Q1 was</w:t>
      </w:r>
      <w:r>
        <w:t xml:space="preserve"> </w:t>
      </w:r>
      <w:r>
        <w:rPr>
          <w:b/>
          <w:bCs/>
        </w:rPr>
        <w:t xml:space="preserve">$95M, +40% y/y</w:t>
      </w:r>
      <w:r>
        <w:t xml:space="preserve">, and management</w:t>
      </w:r>
      <w:r>
        <w:t xml:space="preserve"> </w:t>
      </w:r>
      <w:r>
        <w:rPr>
          <w:b/>
          <w:bCs/>
        </w:rPr>
        <w:t xml:space="preserve">raised the FY outlook to "at least 50%" constant-currency growth</w:t>
      </w:r>
      <w:r>
        <w:t xml:space="preserve">. Investors want:</w:t>
      </w:r>
    </w:p>
    <w:p>
      <w:pPr>
        <w:pStyle w:val="Compact"/>
        <w:numPr>
          <w:ilvl w:val="0"/>
          <w:numId w:val="1005"/>
        </w:numPr>
      </w:pPr>
      <w:r>
        <w:t xml:space="preserve">CIS revenue</w:t>
      </w:r>
      <w:r>
        <w:t xml:space="preserve"> </w:t>
      </w:r>
      <w:r>
        <w:rPr>
          <w:b/>
          <w:bCs/>
        </w:rPr>
        <w:t xml:space="preserve">re-accelerating toward/above 50%</w:t>
      </w:r>
      <w:r>
        <w:t xml:space="preserve"> </w:t>
      </w:r>
      <w:r>
        <w:t xml:space="preserve">and, importantly,</w:t>
      </w:r>
      <w:r>
        <w:t xml:space="preserve"> </w:t>
      </w:r>
      <w:r>
        <w:rPr>
          <w:b/>
          <w:bCs/>
        </w:rPr>
        <w:t xml:space="preserve">pipeline conversion beyond the two mega-deals</w:t>
      </w:r>
      <w:r>
        <w:t xml:space="preserve"> </w:t>
      </w:r>
      <w:r>
        <w:t xml:space="preserve">— the smaller AI/enterprise wins (voice AI, video analytics, ad personalization, live agents, etc.) that show the platform selling broadly.</w:t>
      </w:r>
    </w:p>
    <w:p>
      <w:pPr>
        <w:pStyle w:val="Compact"/>
        <w:numPr>
          <w:ilvl w:val="0"/>
          <w:numId w:val="1005"/>
        </w:numPr>
      </w:pPr>
      <w:r>
        <w:t xml:space="preserve">Any hardening of the</w:t>
      </w:r>
      <w:r>
        <w:t xml:space="preserve"> </w:t>
      </w:r>
      <w:r>
        <w:rPr>
          <w:b/>
          <w:bCs/>
        </w:rPr>
        <w:t xml:space="preserve">"double-digit total-company revenue growth in 2027"</w:t>
      </w:r>
      <w:r>
        <w:t xml:space="preserve"> </w:t>
      </w:r>
      <w:r>
        <w:t xml:space="preserve">commitment. Reaffirming — or raising confidence in — that inflection is what supports the current multiple.</w:t>
      </w:r>
    </w:p>
    <w:bookmarkEnd w:id="15"/>
    <w:bookmarkStart w:id="16" w:name="Xbeaaf9fdc2eb33c5ab19bfb2c45b7474888f041"/>
    <w:p>
      <w:pPr>
        <w:pStyle w:val="Heading3"/>
      </w:pPr>
      <w:r>
        <w:t xml:space="preserve">4. Security durability (the underrated tailwind)</w:t>
      </w:r>
    </w:p>
    <w:p>
      <w:pPr>
        <w:pStyle w:val="FirstParagraph"/>
      </w:pPr>
      <w:r>
        <w:t xml:space="preserve">Security was</w:t>
      </w:r>
      <w:r>
        <w:t xml:space="preserve"> </w:t>
      </w:r>
      <w:r>
        <w:rPr>
          <w:b/>
          <w:bCs/>
        </w:rPr>
        <w:t xml:space="preserve">$590M, +11% reported / +9% cc</w:t>
      </w:r>
      <w:r>
        <w:t xml:space="preserve"> </w:t>
      </w:r>
      <w:r>
        <w:t xml:space="preserve">in Q1, led by WAF, API security and Guardicore segmentation; FY guide is</w:t>
      </w:r>
      <w:r>
        <w:t xml:space="preserve"> </w:t>
      </w:r>
      <w:r>
        <w:rPr>
          <w:b/>
          <w:bCs/>
        </w:rPr>
        <w:t xml:space="preserve">high-single-digit cc growth</w:t>
      </w:r>
      <w:r>
        <w:t xml:space="preserve">. The bull narrative here is that AI-enabled attackers (more zero-days, larger botnets, millions of RPS from distributed IPs) make Akamai's distributed WAF platform a "must-have." Watch:</w:t>
      </w:r>
    </w:p>
    <w:p>
      <w:pPr>
        <w:pStyle w:val="Compact"/>
        <w:numPr>
          <w:ilvl w:val="0"/>
          <w:numId w:val="1006"/>
        </w:numPr>
      </w:pPr>
      <w:r>
        <w:t xml:space="preserve">Whether growth</w:t>
      </w:r>
      <w:r>
        <w:t xml:space="preserve"> </w:t>
      </w:r>
      <w:r>
        <w:rPr>
          <w:b/>
          <w:bCs/>
        </w:rPr>
        <w:t xml:space="preserve">holds/accelerates</w:t>
      </w:r>
      <w:r>
        <w:t xml:space="preserve"> </w:t>
      </w:r>
      <w:r>
        <w:t xml:space="preserve">(management hinted 2026 could be a "floor," with re-acceleration possible in '27 on API security/Guardicore).</w:t>
      </w:r>
    </w:p>
    <w:p>
      <w:pPr>
        <w:pStyle w:val="Compact"/>
        <w:numPr>
          <w:ilvl w:val="0"/>
          <w:numId w:val="1006"/>
        </w:numPr>
      </w:pPr>
      <w:r>
        <w:t xml:space="preserve">Any lumpiness from</w:t>
      </w:r>
      <w:r>
        <w:t xml:space="preserve"> </w:t>
      </w:r>
      <w:r>
        <w:rPr>
          <w:b/>
          <w:bCs/>
        </w:rPr>
        <w:t xml:space="preserve">license/perpetual revenue</w:t>
      </w:r>
      <w:r>
        <w:t xml:space="preserve"> </w:t>
      </w:r>
      <w:r>
        <w:t xml:space="preserve">timing (a factor in prior quarters) that can distort the optics.</w:t>
      </w:r>
    </w:p>
    <w:bookmarkEnd w:id="16"/>
    <w:bookmarkStart w:id="17" w:name="X24515e40c7ce1fba6ee20a5552131596c10048a"/>
    <w:p>
      <w:pPr>
        <w:pStyle w:val="Heading3"/>
      </w:pPr>
      <w:r>
        <w:t xml:space="preserve">5. Delivery decline moderating</w:t>
      </w:r>
    </w:p>
    <w:p>
      <w:pPr>
        <w:pStyle w:val="FirstParagraph"/>
      </w:pPr>
      <w:r>
        <w:t xml:space="preserve">Delivery &amp; other cloud apps was</w:t>
      </w:r>
      <w:r>
        <w:t xml:space="preserve"> </w:t>
      </w:r>
      <w:r>
        <w:rPr>
          <w:b/>
          <w:bCs/>
        </w:rPr>
        <w:t xml:space="preserve">−7% reported / −8% cc</w:t>
      </w:r>
      <w:r>
        <w:t xml:space="preserve"> </w:t>
      </w:r>
      <w:r>
        <w:t xml:space="preserve">in Q1, dragged by the wraparound from the 2025 Edgio transaction; FY guide is a</w:t>
      </w:r>
      <w:r>
        <w:t xml:space="preserve"> </w:t>
      </w:r>
      <w:r>
        <w:rPr>
          <w:b/>
          <w:bCs/>
        </w:rPr>
        <w:t xml:space="preserve">mid-single-digit decline</w:t>
      </w:r>
      <w:r>
        <w:t xml:space="preserve">. This segment is a cash-harvest engine funding the cloud build — the ask is simply that the</w:t>
      </w:r>
      <w:r>
        <w:t xml:space="preserve"> </w:t>
      </w:r>
      <w:r>
        <w:rPr>
          <w:b/>
          <w:bCs/>
        </w:rPr>
        <w:t xml:space="preserve">rate of decline moderates in 2H</w:t>
      </w:r>
      <w:r>
        <w:t xml:space="preserve"> </w:t>
      </w:r>
      <w:r>
        <w:t xml:space="preserve">as guided. A worse-than-expected drop would be a modest negative but isn't the swing factor.</w:t>
      </w:r>
    </w:p>
    <w:p>
      <w:r>
        <w:pict>
          <v:rect style="width:0;height:1.5pt" o:hralign="center" o:hrstd="t" o:hr="t"/>
        </w:pict>
      </w:r>
    </w:p>
    <w:bookmarkEnd w:id="17"/>
    <w:bookmarkEnd w:id="18"/>
    <w:bookmarkStart w:id="19" w:name="Xbf55894639643ad5c992aefd65c9a1726660c25"/>
    <w:p>
      <w:pPr>
        <w:pStyle w:val="Heading2"/>
      </w:pPr>
      <w:r>
        <w:t xml:space="preserve">Margins &amp; the model — set expectations correctly</w:t>
      </w:r>
    </w:p>
    <w:p>
      <w:pPr>
        <w:pStyle w:val="Compact"/>
        <w:numPr>
          <w:ilvl w:val="0"/>
          <w:numId w:val="1007"/>
        </w:numPr>
      </w:pPr>
      <w:r>
        <w:rPr>
          <w:b/>
          <w:bCs/>
        </w:rPr>
        <w:t xml:space="preserve">Operating margin has stepped down from ~30% to ~26%</w:t>
      </w:r>
      <w:r>
        <w:t xml:space="preserve"> </w:t>
      </w:r>
      <w:r>
        <w:t xml:space="preserve">and management has told investors to expect it to</w:t>
      </w:r>
      <w:r>
        <w:t xml:space="preserve"> </w:t>
      </w:r>
      <w:r>
        <w:rPr>
          <w:b/>
          <w:bCs/>
        </w:rPr>
        <w:t xml:space="preserve">stay ~26% for the year</w:t>
      </w:r>
      <w:r>
        <w:t xml:space="preserve"> </w:t>
      </w:r>
      <w:r>
        <w:t xml:space="preserve">while they invest ahead of revenue. Some large cloud deals may even carry</w:t>
      </w:r>
      <w:r>
        <w:t xml:space="preserve"> </w:t>
      </w:r>
      <w:r>
        <w:rPr>
          <w:b/>
          <w:bCs/>
        </w:rPr>
        <w:t xml:space="preserve">sub-30% operating margins</w:t>
      </w:r>
      <w:r>
        <w:t xml:space="preserve">.</w:t>
      </w:r>
    </w:p>
    <w:p>
      <w:pPr>
        <w:pStyle w:val="Compact"/>
        <w:numPr>
          <w:ilvl w:val="0"/>
          <w:numId w:val="1007"/>
        </w:numPr>
      </w:pPr>
      <w:r>
        <w:t xml:space="preserve">The reassurance to look for:</w:t>
      </w:r>
      <w:r>
        <w:t xml:space="preserve"> </w:t>
      </w:r>
      <w:r>
        <w:rPr>
          <w:b/>
          <w:bCs/>
        </w:rPr>
        <w:t xml:space="preserve">cash gross margin (guided ~70–71%)</w:t>
      </w:r>
      <w:r>
        <w:t xml:space="preserve"> </w:t>
      </w:r>
      <w:r>
        <w:t xml:space="preserve">and EBITDA holding, with the promise that once capacity is deployed these dedicated-capacity deals throw off</w:t>
      </w:r>
      <w:r>
        <w:t xml:space="preserve"> </w:t>
      </w:r>
      <w:r>
        <w:rPr>
          <w:b/>
          <w:bCs/>
        </w:rPr>
        <w:t xml:space="preserve">strong free cash flow</w:t>
      </w:r>
      <w:r>
        <w:t xml:space="preserve"> </w:t>
      </w:r>
      <w:r>
        <w:t xml:space="preserve">and margins expand "naturally" later. In other words, 2026 is a peak-investment year; the payoff is a 2027+ story.</w:t>
      </w:r>
    </w:p>
    <w:p>
      <w:pPr>
        <w:pStyle w:val="Compact"/>
        <w:numPr>
          <w:ilvl w:val="0"/>
          <w:numId w:val="1007"/>
        </w:numPr>
      </w:pPr>
      <w:r>
        <w:t xml:space="preserve">Note the heavy non-cash load: ~</w:t>
      </w:r>
      <m:oMath>
        <m:r>
          <m:t>129</m:t>
        </m:r>
        <m:r>
          <m:t>M</m:t>
        </m:r>
        <m:r>
          <m:rPr>
            <m:sty m:val="p"/>
          </m:rPr>
          <m:t>/</m:t>
        </m:r>
        <m:r>
          <m:t>q</m:t>
        </m:r>
        <m:r>
          <m:t>t</m:t>
        </m:r>
        <m:r>
          <m:t>r</m:t>
        </m:r>
        <m:r>
          <m:t>s</m:t>
        </m:r>
        <m:r>
          <m:t>t</m:t>
        </m:r>
        <m:r>
          <m:t>o</m:t>
        </m:r>
        <m:r>
          <m:t>c</m:t>
        </m:r>
        <m:r>
          <m:t>k</m:t>
        </m:r>
        <m:r>
          <m:rPr>
            <m:sty m:val="p"/>
          </m:rPr>
          <m:t>−</m:t>
        </m:r>
        <m:r>
          <m:t>b</m:t>
        </m:r>
        <m:r>
          <m:t>a</m:t>
        </m:r>
        <m:r>
          <m:t>s</m:t>
        </m:r>
        <m:r>
          <m:t>e</m:t>
        </m:r>
        <m:r>
          <m:t>d</m:t>
        </m:r>
        <m:r>
          <m:t>c</m:t>
        </m:r>
        <m:r>
          <m:t>o</m:t>
        </m:r>
        <m:r>
          <m:t>m</m:t>
        </m:r>
        <m:r>
          <m:t>p</m:t>
        </m:r>
        <m:r>
          <m:t>a</m:t>
        </m:r>
        <m:r>
          <m:t>n</m:t>
        </m:r>
        <m:r>
          <m:t>d</m:t>
        </m:r>
        <m:r>
          <m:t>r</m:t>
        </m:r>
        <m:r>
          <m:t>i</m:t>
        </m:r>
        <m:r>
          <m:t>s</m:t>
        </m:r>
        <m:r>
          <m:t>i</m:t>
        </m:r>
        <m:r>
          <m:t>n</m:t>
        </m:r>
        <m:r>
          <m:t>g</m:t>
        </m:r>
        <m:r>
          <m:t>d</m:t>
        </m:r>
        <m:r>
          <m:t>e</m:t>
        </m:r>
        <m:r>
          <m:t>p</m:t>
        </m:r>
        <m:r>
          <m:t>r</m:t>
        </m:r>
        <m:r>
          <m:t>e</m:t>
        </m:r>
        <m:r>
          <m:t>c</m:t>
        </m:r>
        <m:r>
          <m:t>i</m:t>
        </m:r>
        <m:r>
          <m:t>a</m:t>
        </m:r>
        <m:r>
          <m:t>t</m:t>
        </m:r>
        <m:r>
          <m:t>i</m:t>
        </m:r>
        <m:r>
          <m:t>o</m:t>
        </m:r>
        <m:r>
          <m:t>n</m:t>
        </m:r>
        <m:r>
          <m:t>a</m:t>
        </m:r>
        <m:r>
          <m:t>r</m:t>
        </m:r>
        <m:r>
          <m:t>e</m:t>
        </m:r>
        <m:r>
          <m:t>w</m:t>
        </m:r>
        <m:r>
          <m:t>h</m:t>
        </m:r>
        <m:r>
          <m:t>y</m:t>
        </m:r>
        <m:r>
          <m:t>G</m:t>
        </m:r>
        <m:r>
          <m:t>A</m:t>
        </m:r>
        <m:r>
          <m:t>A</m:t>
        </m:r>
        <m:r>
          <m:t>P</m:t>
        </m:r>
        <m:r>
          <m:t>E</m:t>
        </m:r>
        <m:r>
          <m:t>P</m:t>
        </m:r>
        <m:r>
          <m:t>S</m:t>
        </m:r>
        <m:r>
          <m:rPr>
            <m:sty m:val="p"/>
          </m:rPr>
          <m:t>(</m:t>
        </m:r>
      </m:oMath>
      <w:r>
        <w:t xml:space="preserve">0.71 in Q1) looks so much weaker than non-GAAP ($1.61).</w:t>
      </w:r>
    </w:p>
    <w:p>
      <w:r>
        <w:pict>
          <v:rect style="width:0;height:1.5pt" o:hralign="center" o:hrstd="t" o:hr="t"/>
        </w:pict>
      </w:r>
    </w:p>
    <w:bookmarkEnd w:id="19"/>
    <w:bookmarkStart w:id="20" w:name="bull-vs-bear-into-the-print"/>
    <w:p>
      <w:pPr>
        <w:pStyle w:val="Heading2"/>
      </w:pPr>
      <w:r>
        <w:t xml:space="preserve">Bull vs. bear into the print</w:t>
      </w:r>
    </w:p>
    <w:p>
      <w:pPr>
        <w:pStyle w:val="FirstParagraph"/>
      </w:pPr>
      <w:r>
        <w:rPr>
          <w:b/>
          <w:bCs/>
        </w:rPr>
        <w:t xml:space="preserve">Bull case:</w:t>
      </w:r>
      <w:r>
        <w:t xml:space="preserve"> </w:t>
      </w:r>
      <w:r>
        <w:t xml:space="preserve">RPO balloons on the Anthropic deal; CIS growth re-accelerates past 50%; management raises CapEx on a bigger GPU order (demand signal) and firms up the 2027 double-digit growth inflection; security stays double-digit. Stock re-tests $150–160+.</w:t>
      </w:r>
    </w:p>
    <w:p>
      <w:pPr>
        <w:pStyle w:val="BodyText"/>
      </w:pPr>
      <w:r>
        <w:rPr>
          <w:b/>
          <w:bCs/>
        </w:rPr>
        <w:t xml:space="preserve">Bear case:</w:t>
      </w:r>
      <w:r>
        <w:t xml:space="preserve"> </w:t>
      </w:r>
      <w:r>
        <w:t xml:space="preserve">In-line revenue and guided-down EPS with no incremental catalyst; margin compression + rising CapEx spook FCF-focused investors; Delivery erosion or a security decel; any hint of deployment slippage on the mega-deal. With shares already up big YTD and a $158 target implying a lot of good news, a "fine but no upside surprise" print risks a sell-the-news move — consistent with the June–July pullback.</w:t>
      </w:r>
    </w:p>
    <w:p>
      <w:r>
        <w:pict>
          <v:rect style="width:0;height:1.5pt" o:hralign="center" o:hrstd="t" o:hr="t"/>
        </w:pict>
      </w:r>
    </w:p>
    <w:bookmarkEnd w:id="20"/>
    <w:bookmarkStart w:id="21" w:name="bottom-line"/>
    <w:p>
      <w:pPr>
        <w:pStyle w:val="Heading2"/>
      </w:pPr>
      <w:r>
        <w:t xml:space="preserve">Bottom line</w:t>
      </w:r>
    </w:p>
    <w:p>
      <w:pPr>
        <w:pStyle w:val="FirstParagraph"/>
      </w:pPr>
      <w:r>
        <w:t xml:space="preserve">Treat the Q2 headline (in-line revenue, a guided y/y EPS decline, compressed margins) as noise. The report is a</w:t>
      </w:r>
      <w:r>
        <w:t xml:space="preserve"> </w:t>
      </w:r>
      <w:r>
        <w:rPr>
          <w:b/>
          <w:bCs/>
        </w:rPr>
        <w:t xml:space="preserve">referendum on the AI-cloud pivot</w:t>
      </w:r>
      <w:r>
        <w:t xml:space="preserve">: (1) does the Anthropic backlog show up in RPO, (2) how much bigger does CapEx/GPU commitment get, and (3) does management sound more confident on the 2027 double-digit growth inflection. Given the stock's re-rating and elevated target, the bar is now high — the burden of proof is on management to demonstrate the pipeline is converting faster than the CapEx is climbing.</w:t>
      </w:r>
    </w:p>
    <w:p>
      <w:pPr>
        <w:pStyle w:val="BodyText"/>
      </w:pPr>
      <w:r>
        <w:rPr>
          <w:i/>
          <w:iCs/>
        </w:rPr>
        <w:t xml:space="preserve">Note: This preview reflects information available through August 5, 2026, and is for informational purposes only — not investment advice. Figures for the counterparty ("Anthropic") derive from press reports; Akamai has not officially named the customer.</w:t>
      </w:r>
    </w:p>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2026-08-06T01:02:45Z</dcterms:created>
  <dcterms:modified xsi:type="dcterms:W3CDTF">2026-08-06T01:02:45Z</dcterms:modified>
</cp:coreProperties>
</file>

<file path=docProps/custom.xml><?xml version="1.0" encoding="utf-8"?>
<Properties xmlns="http://schemas.openxmlformats.org/officeDocument/2006/custom-properties" xmlns:vt="http://schemas.openxmlformats.org/officeDocument/2006/docPropsVTypes"/>
</file>