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write the earnings preview.# Akamai Technologies (AKAM) — Q2 2026 Earnings Preview</w:t>
      </w:r>
      <w:r>
        <w:t xml:space="preserve"> </w:t>
      </w:r>
      <w:r>
        <w:rPr>
          <w:b/>
          <w:bCs/>
        </w:rPr>
        <w:t xml:space="preserve">Report date:</w:t>
      </w:r>
      <w:r>
        <w:t xml:space="preserve"> </w:t>
      </w:r>
      <w:r>
        <w:t xml:space="preserve">Thursday, August 6, 2026, after market close |</w:t>
      </w:r>
      <w:r>
        <w:t xml:space="preserve"> </w:t>
      </w:r>
      <w:r>
        <w:rPr>
          <w:b/>
          <w:bCs/>
        </w:rPr>
        <w:t xml:space="preserve">Call:</w:t>
      </w:r>
      <w:r>
        <w:t xml:space="preserve"> </w:t>
      </w:r>
      <w:r>
        <w:t xml:space="preserve">Q2 2026 Earnings Call</w:t>
      </w:r>
    </w:p>
    <w:bookmarkStart w:id="9" w:name="setup-into-the-print"/>
    <w:p>
      <w:pPr>
        <w:pStyle w:val="Heading2"/>
      </w:pPr>
      <w:r>
        <w:t xml:space="preserve">Setup Into the Print</w:t>
      </w:r>
    </w:p>
    <w:p>
      <w:pPr>
        <w:pStyle w:val="FirstParagraph"/>
      </w:pPr>
      <w:r>
        <w:t xml:space="preserve">AKAM shares have been on a wild ride in 2026. The stock rallied significantly following its Q1 earnings report in May, largely driven by the disclosure of a $1.8 billion, 7-year cloud infrastructure contract with a US-based frontier model provider, with market participants viewing Akamai's network as well-positioned to capitalize on AI inference demand as model companies seek to reduce latency. The stock spiked from roughly $117 pre-print to an intraday peak near</w:t>
      </w:r>
      <w:r>
        <w:t xml:space="preserve"> </w:t>
      </w:r>
      <m:oMath>
        <m:r>
          <m:t>161</m:t>
        </m:r>
        <m:r>
          <m:t>b</m:t>
        </m:r>
        <m:r>
          <m:t>y</m:t>
        </m:r>
        <m:r>
          <m:t>e</m:t>
        </m:r>
        <m:r>
          <m:t>a</m:t>
        </m:r>
        <m:r>
          <m:t>r</m:t>
        </m:r>
        <m:r>
          <m:t>l</m:t>
        </m:r>
        <m:r>
          <m:t>y</m:t>
        </m:r>
        <m:r>
          <m:t>J</m:t>
        </m:r>
        <m:r>
          <m:t>u</m:t>
        </m:r>
        <m:r>
          <m:t>n</m:t>
        </m:r>
        <m:r>
          <m:t>e</m:t>
        </m:r>
        <m:r>
          <m:rPr>
            <m:sty m:val="p"/>
          </m:rPr>
          <m:t>,</m:t>
        </m:r>
        <m:r>
          <m:t>b</m:t>
        </m:r>
        <m:r>
          <m:t>e</m:t>
        </m:r>
        <m:r>
          <m:t>f</m:t>
        </m:r>
        <m:r>
          <m:t>o</m:t>
        </m:r>
        <m:r>
          <m:t>r</m:t>
        </m:r>
        <m:r>
          <m:t>e</m:t>
        </m:r>
        <m:r>
          <m:t>r</m:t>
        </m:r>
        <m:r>
          <m:t>o</m:t>
        </m:r>
        <m:r>
          <m:t>u</m:t>
        </m:r>
        <m:r>
          <m:t>n</m:t>
        </m:r>
        <m:r>
          <m:t>d</m:t>
        </m:r>
        <m:r>
          <m:rPr>
            <m:sty m:val="p"/>
          </m:rPr>
          <m:t>−</m:t>
        </m:r>
        <m:r>
          <m:t>t</m:t>
        </m:r>
        <m:r>
          <m:t>r</m:t>
        </m:r>
        <m:r>
          <m:t>i</m:t>
        </m:r>
        <m:r>
          <m:t>p</m:t>
        </m:r>
        <m:r>
          <m:t>p</m:t>
        </m:r>
        <m:r>
          <m:t>i</m:t>
        </m:r>
        <m:r>
          <m:t>n</m:t>
        </m:r>
        <m:r>
          <m:t>g</m:t>
        </m:r>
        <m:r>
          <m:t>m</m:t>
        </m:r>
        <m:r>
          <m:t>o</m:t>
        </m:r>
        <m:r>
          <m:t>s</m:t>
        </m:r>
        <m:r>
          <m:t>t</m:t>
        </m:r>
        <m:r>
          <m:t>o</m:t>
        </m:r>
        <m:r>
          <m:t>f</m:t>
        </m:r>
        <m:r>
          <m:t>t</m:t>
        </m:r>
        <m:r>
          <m:t>h</m:t>
        </m:r>
        <m:r>
          <m:t>a</m:t>
        </m:r>
        <m:r>
          <m:t>t</m:t>
        </m:r>
        <m:r>
          <m:t>g</m:t>
        </m:r>
        <m:r>
          <m:t>a</m:t>
        </m:r>
        <m:r>
          <m:t>i</m:t>
        </m:r>
        <m:r>
          <m:t>n</m:t>
        </m:r>
        <m:r>
          <m:rPr>
            <m:sty m:val="p"/>
          </m:rPr>
          <m:t>—</m:t>
        </m:r>
        <m:r>
          <m:t>f</m:t>
        </m:r>
        <m:r>
          <m:t>a</m:t>
        </m:r>
        <m:r>
          <m:t>l</m:t>
        </m:r>
        <m:r>
          <m:t>l</m:t>
        </m:r>
        <m:r>
          <m:t>i</m:t>
        </m:r>
        <m:r>
          <m:t>n</m:t>
        </m:r>
        <m:r>
          <m:t>g</m:t>
        </m:r>
        <m:r>
          <m:t>b</m:t>
        </m:r>
        <m:r>
          <m:t>a</m:t>
        </m:r>
        <m:r>
          <m:t>c</m:t>
        </m:r>
        <m:r>
          <m:t>k</m:t>
        </m:r>
        <m:r>
          <m:t>t</m:t>
        </m:r>
        <m:r>
          <m:t>o</m:t>
        </m:r>
        <m:r>
          <m:t>t</m:t>
        </m:r>
        <m:r>
          <m:t>h</m:t>
        </m:r>
        <m:r>
          <m:t>e</m:t>
        </m:r>
        <m:r>
          <m:t> </m:t>
        </m:r>
      </m:oMath>
      <w:r>
        <w:t xml:space="preserve">107-$115 range through late July on broader AI-capex jitters and profit-taking — and has since stabilized around $122 heading into tomorrow's report. Sell-side sentiment remains constructive: Oppenheimer reiterated an Outperform rating with a $180 price target on the back of strong demand for AI-security offerings, and consensus 12-month targets across the Street cluster in the</w:t>
      </w:r>
      <w:r>
        <w:t xml:space="preserve"> </w:t>
      </w:r>
      <m:oMath>
        <m:r>
          <m:t>145</m:t>
        </m:r>
        <m:r>
          <m:rPr>
            <m:sty m:val="p"/>
          </m:rPr>
          <m:t>−</m:t>
        </m:r>
      </m:oMath>
      <w:r>
        <w:t xml:space="preserve">160 area, implying meaningful upside from current levels if the AI-infrastructure and security narratives continue to play out.</w:t>
      </w:r>
    </w:p>
    <w:bookmarkEnd w:id="9"/>
    <w:bookmarkStart w:id="10" w:name="what-wall-street-expects-for-q2"/>
    <w:p>
      <w:pPr>
        <w:pStyle w:val="Heading2"/>
      </w:pPr>
      <w:r>
        <w:t xml:space="preserve">What Wall Street Expects for Q2</w:t>
      </w:r>
    </w:p>
    <w:p>
      <w:pPr>
        <w:pStyle w:val="FirstParagraph"/>
      </w:pPr>
      <w:r>
        <w:t xml:space="preserve">Consensus is tracking toward the low-to-mid point of management's own guidance:</w:t>
      </w:r>
    </w:p>
    <w:p>
      <w:pPr>
        <w:pStyle w:val="Compact"/>
        <w:numPr>
          <w:ilvl w:val="0"/>
          <w:numId w:val="1001"/>
        </w:numPr>
      </w:pPr>
      <w:r>
        <w:rPr>
          <w:b/>
          <w:bCs/>
        </w:rPr>
        <w:t xml:space="preserve">Revenue:</w:t>
      </w:r>
      <w:r>
        <w:t xml:space="preserve"> </w:t>
      </w:r>
      <w:r>
        <w:t xml:space="preserve">~$1.09 billion (guidance range:</w:t>
      </w:r>
      <w:r>
        <w:t xml:space="preserve"> </w:t>
      </w:r>
      <m:oMath>
        <m:r>
          <m:t>1.075</m:t>
        </m:r>
        <m:r>
          <m:t>B</m:t>
        </m:r>
        <m:r>
          <m:rPr>
            <m:sty m:val="p"/>
          </m:rPr>
          <m:t>–</m:t>
        </m:r>
      </m:oMath>
      <w:r>
        <w:t xml:space="preserve">1.100B), up roughly 4-5% y/y from</w:t>
      </w:r>
      <w:r>
        <w:t xml:space="preserve"> </w:t>
      </w:r>
      <m:oMath>
        <m:r>
          <m:t>1.04</m:t>
        </m:r>
        <m:r>
          <m:rPr>
            <m:sty m:val="p"/>
          </m:rPr>
          <m:t>−</m:t>
        </m:r>
      </m:oMath>
      <w:r>
        <w:t xml:space="preserve">1.015B a year ago.</w:t>
      </w:r>
    </w:p>
    <w:p>
      <w:pPr>
        <w:pStyle w:val="Compact"/>
        <w:numPr>
          <w:ilvl w:val="0"/>
          <w:numId w:val="1001"/>
        </w:numPr>
      </w:pPr>
      <w:r>
        <w:rPr>
          <w:b/>
          <w:bCs/>
        </w:rPr>
        <w:t xml:space="preserve">Non-GAAP EPS:</w:t>
      </w:r>
      <w:r>
        <w:t xml:space="preserve"> </w:t>
      </w:r>
      <w:r>
        <w:t xml:space="preserve">~$1.58 (guidance range:</w:t>
      </w:r>
      <w:r>
        <w:t xml:space="preserve"> </w:t>
      </w:r>
      <m:oMath>
        <m:r>
          <m:t>1.45</m:t>
        </m:r>
        <m:r>
          <m:rPr>
            <m:sty m:val="p"/>
          </m:rPr>
          <m:t>–</m:t>
        </m:r>
      </m:oMath>
      <w:r>
        <w:t xml:space="preserve">1.65), which would represent a</w:t>
      </w:r>
      <w:r>
        <w:t xml:space="preserve"> </w:t>
      </w:r>
      <w:r>
        <w:rPr>
          <w:b/>
          <w:bCs/>
        </w:rPr>
        <w:t xml:space="preserve">year-over-year decline of ~8-9%</w:t>
      </w:r>
      <w:r>
        <w:t xml:space="preserve"> </w:t>
      </w:r>
      <w:r>
        <w:t xml:space="preserve">as the company invests heavily ahead of revenue.</w:t>
      </w:r>
    </w:p>
    <w:p>
      <w:pPr>
        <w:pStyle w:val="Compact"/>
        <w:numPr>
          <w:ilvl w:val="0"/>
          <w:numId w:val="1001"/>
        </w:numPr>
      </w:pPr>
      <w:r>
        <w:t xml:space="preserve">Akamai has beaten estimates in three of the last four quarters (average surprise ~7.5%), but the Zacks model does not currently predict a beat this quarter, reflecting caution around near-term margin pressure.</w:t>
      </w:r>
    </w:p>
    <w:p>
      <w:pPr>
        <w:pStyle w:val="FirstParagraph"/>
      </w:pPr>
      <w:r>
        <w:t xml:space="preserve">Investors should recall that management explicitly flagged</w:t>
      </w:r>
      <w:r>
        <w:t xml:space="preserve"> </w:t>
      </w:r>
      <w:r>
        <w:rPr>
          <w:b/>
          <w:bCs/>
        </w:rPr>
        <w:t xml:space="preserve">higher costs this quarter</w:t>
      </w:r>
      <w:r>
        <w:t xml:space="preserve">: CFO Ed McGowan told investors on the Q1 call that Q2 CapEx would "jump significantly" as Akamai takes delivery of NVIDIA GPUs and catches up on capex that shifted from Q1, and that operating expenses would rise due to go-to-market investment and the annual merit cycle that took effect April 1. Specifically, Akamai guided to:</w:t>
      </w:r>
    </w:p>
    <w:p>
      <w:pPr>
        <w:pStyle w:val="Compact"/>
        <w:numPr>
          <w:ilvl w:val="0"/>
          <w:numId w:val="1002"/>
        </w:numPr>
      </w:pPr>
      <w:r>
        <w:t xml:space="preserve">Q2 CapEx of</w:t>
      </w:r>
      <w:r>
        <w:t xml:space="preserve"> </w:t>
      </w:r>
      <m:oMath>
        <m:r>
          <m:t>433</m:t>
        </m:r>
        <m:r>
          <m:t>M</m:t>
        </m:r>
        <m:r>
          <m:rPr>
            <m:sty m:val="p"/>
          </m:rPr>
          <m:t>–</m:t>
        </m:r>
      </m:oMath>
      <w:r>
        <w:rPr>
          <w:b/>
          <w:bCs/>
        </w:rPr>
        <w:t xml:space="preserve">453M</w:t>
      </w:r>
      <w:r>
        <w:t xml:space="preserve"> </w:t>
      </w:r>
      <w:r>
        <w:t xml:space="preserve">(~40-41% of revenue) — a sharp step-up from Q1's $206M (19% of revenue)</w:t>
      </w:r>
    </w:p>
    <w:p>
      <w:pPr>
        <w:pStyle w:val="Compact"/>
        <w:numPr>
          <w:ilvl w:val="0"/>
          <w:numId w:val="1002"/>
        </w:numPr>
      </w:pPr>
      <w:r>
        <w:t xml:space="preserve">Q2 non-GAAP operating margin of</w:t>
      </w:r>
      <w:r>
        <w:t xml:space="preserve"> </w:t>
      </w:r>
      <w:r>
        <w:rPr>
          <w:b/>
          <w:bCs/>
        </w:rPr>
        <w:t xml:space="preserve">25-26%</w:t>
      </w:r>
    </w:p>
    <w:p>
      <w:pPr>
        <w:pStyle w:val="Compact"/>
        <w:numPr>
          <w:ilvl w:val="0"/>
          <w:numId w:val="1002"/>
        </w:numPr>
      </w:pPr>
      <w:r>
        <w:t xml:space="preserve">Q2 EBITDA margin of</w:t>
      </w:r>
      <w:r>
        <w:t xml:space="preserve"> </w:t>
      </w:r>
      <w:r>
        <w:rPr>
          <w:b/>
          <w:bCs/>
        </w:rPr>
        <w:t xml:space="preserve">38-39%</w:t>
      </w:r>
    </w:p>
    <w:p>
      <w:pPr>
        <w:pStyle w:val="Compact"/>
        <w:numPr>
          <w:ilvl w:val="0"/>
          <w:numId w:val="1002"/>
        </w:numPr>
      </w:pPr>
      <w:r>
        <w:t xml:space="preserve">Cash gross margin of</w:t>
      </w:r>
      <w:r>
        <w:t xml:space="preserve"> </w:t>
      </w:r>
      <w:r>
        <w:rPr>
          <w:b/>
          <w:bCs/>
        </w:rPr>
        <w:t xml:space="preserve">70-71%</w:t>
      </w:r>
      <w:r>
        <w:t xml:space="preserve">, pressured by rising colocation costs tied to CIS scaling</w:t>
      </w:r>
    </w:p>
    <w:bookmarkEnd w:id="10"/>
    <w:bookmarkStart w:id="11" w:name="X1993b51a129d26ae4b8b5f17dd99be16af8a213"/>
    <w:p>
      <w:pPr>
        <w:pStyle w:val="Heading2"/>
      </w:pPr>
      <w:r>
        <w:t xml:space="preserve">The Big Story: Cloud Infrastructure Services (CIS) and the AI Pivot</w:t>
      </w:r>
    </w:p>
    <w:p>
      <w:pPr>
        <w:pStyle w:val="FirstParagraph"/>
      </w:pPr>
      <w:r>
        <w:t xml:space="preserve">The single most important theme for this print is the continued build-out around Akamai's transformation into AI infrastructure provider. Recall the Q1 blockbuster: CEO Tom Leighton announced the signing of a landmark 7-year $1.8 billion commitment for cloud infrastructure services by a leading frontier model company... the largest customer deal in Akamai history, coming on the heels of the $200 million CIS deal announced in February with a major U.S. tech company also at the forefront of the AI revolution.</w:t>
      </w:r>
    </w:p>
    <w:p>
      <w:pPr>
        <w:pStyle w:val="BodyText"/>
      </w:pPr>
      <w:r>
        <w:t xml:space="preserve">CIS revenue in Q1 was $95 million, up 40% year-over-year as reported and 39% in constant currency, and management raised the full-year CIS growth outlook to</w:t>
      </w:r>
      <w:r>
        <w:t xml:space="preserve"> </w:t>
      </w:r>
      <w:r>
        <w:rPr>
          <w:b/>
          <w:bCs/>
        </w:rPr>
        <w:t xml:space="preserve">at least 50% y/y in constant currency</w:t>
      </w:r>
      <w:r>
        <w:t xml:space="preserve">. Investors should watch for:</w:t>
      </w:r>
    </w:p>
    <w:p>
      <w:pPr>
        <w:pStyle w:val="Compact"/>
        <w:numPr>
          <w:ilvl w:val="0"/>
          <w:numId w:val="1003"/>
        </w:numPr>
      </w:pPr>
      <w:r>
        <w:rPr>
          <w:b/>
          <w:bCs/>
        </w:rPr>
        <w:t xml:space="preserve">Updated CIS growth commentary</w:t>
      </w:r>
      <w:r>
        <w:t xml:space="preserve"> </w:t>
      </w:r>
      <w:r>
        <w:t xml:space="preserve">— did the pipeline continue to build as management described ("a large and rapidly expanding pipeline of prospects... including some with very large needs")?</w:t>
      </w:r>
    </w:p>
    <w:p>
      <w:pPr>
        <w:pStyle w:val="Compact"/>
        <w:numPr>
          <w:ilvl w:val="0"/>
          <w:numId w:val="1003"/>
        </w:numPr>
      </w:pPr>
      <w:r>
        <w:rPr>
          <w:b/>
          <w:bCs/>
        </w:rPr>
        <w:t xml:space="preserve">Revenue ramp timing</w:t>
      </w:r>
      <w:r>
        <w:t xml:space="preserve"> </w:t>
      </w:r>
      <w:r>
        <w:t xml:space="preserve">— management indicated the $1.8B contract would start to ramp in Q4, generating approximately $20 million to $25 million of revenue in the fourth quarter, and would require approximately $800 million to $825 million of CapEx over the next 12 months, with roughly $700 million in the second half of 2026. Q2 is a key data point on whether that spending pace is on track.</w:t>
      </w:r>
    </w:p>
    <w:p>
      <w:pPr>
        <w:pStyle w:val="Compact"/>
        <w:numPr>
          <w:ilvl w:val="0"/>
          <w:numId w:val="1003"/>
        </w:numPr>
      </w:pPr>
      <w:r>
        <w:rPr>
          <w:b/>
          <w:bCs/>
        </w:rPr>
        <w:t xml:space="preserve">Potential incremental GPU order</w:t>
      </w:r>
      <w:r>
        <w:t xml:space="preserve"> </w:t>
      </w:r>
      <w:r>
        <w:t xml:space="preserve">— management explicitly warned that the current pipeline for GPUs significantly exceeds existing and projected inventory, meaning Akamai may place additional GPU orders in the second half of the year, which is not factored into current annual CapEx guidance. Any update here — size, timing — could move the stock materially in either direction.</w:t>
      </w:r>
    </w:p>
    <w:p>
      <w:pPr>
        <w:pStyle w:val="Compact"/>
        <w:numPr>
          <w:ilvl w:val="0"/>
          <w:numId w:val="1003"/>
        </w:numPr>
      </w:pPr>
      <w:r>
        <w:rPr>
          <w:b/>
          <w:bCs/>
        </w:rPr>
        <w:t xml:space="preserve">2027 acceleration framing</w:t>
      </w:r>
      <w:r>
        <w:t xml:space="preserve"> </w:t>
      </w:r>
      <w:r>
        <w:t xml:space="preserve">— Akamai told investors it now expects total company annual top-line revenue growth to reach double digits in 2027, driven by CIS. Watch for reaffirmation or refinement of this target.</w:t>
      </w:r>
    </w:p>
    <w:p>
      <w:pPr>
        <w:pStyle w:val="FirstParagraph"/>
      </w:pPr>
      <w:r>
        <w:t xml:space="preserve">Notably, to fund this build-out, Akamai raised</w:t>
      </w:r>
      <w:r>
        <w:t xml:space="preserve"> </w:t>
      </w:r>
      <w:r>
        <w:rPr>
          <w:b/>
          <w:bCs/>
        </w:rPr>
        <w:t xml:space="preserve">$2.6 billion via 0% convertible senior notes</w:t>
      </w:r>
      <w:r>
        <w:t xml:space="preserve"> </w:t>
      </w:r>
      <w:r>
        <w:t xml:space="preserve">(2030 and 2032 tranches) in May, explicitly earmarked to "fund the accelerated capital expenditure requirements of the Cloud Infrastructure Services (CIS) business, prioritizing the rapid build-out of Akamai's global footprint." This confirms the scale of investment ahead and modestly dilutes/complicates the capital structure (with concurrent share buybacks and note-hedge/warrant transactions to manage dilution).</w:t>
      </w:r>
    </w:p>
    <w:bookmarkEnd w:id="11"/>
    <w:bookmarkStart w:id="12" w:name="Xb1f937d91fbae2ec972cc87cd2edc877016f8a9"/>
    <w:p>
      <w:pPr>
        <w:pStyle w:val="Heading2"/>
      </w:pPr>
      <w:r>
        <w:t xml:space="preserve">Security: Still the Profit Engine, Now With an AI Twist</w:t>
      </w:r>
    </w:p>
    <w:p>
      <w:pPr>
        <w:pStyle w:val="FirstParagraph"/>
      </w:pPr>
      <w:r>
        <w:t xml:space="preserve">Security remains Akamai's largest and most profitable segment. In Q1, security revenue grew 11% year-over-year as reported and 9% in constant currency, led by strong demand for the market-leading web app firewall, API security and Guardicore Segmentation solutions. Management's framing for why security should stay strong is compelling: frontier models are changing vulnerability management, and legacy systems and billions of deployed devices that can't be patched will become far more vulnerable as AI-powered attacks increase in frequency and scale. Leighton also noted unprecedented attack volumes, saying Akamai had "neutralized a series of app layer attacks with millions of malicious requests per second from millions of widely distributed IPs" in recent weeks.</w:t>
      </w:r>
    </w:p>
    <w:p>
      <w:pPr>
        <w:pStyle w:val="BodyText"/>
      </w:pPr>
      <w:r>
        <w:t xml:space="preserve">For full-year 2026, management continues to guide</w:t>
      </w:r>
      <w:r>
        <w:t xml:space="preserve"> </w:t>
      </w:r>
      <w:r>
        <w:rPr>
          <w:b/>
          <w:bCs/>
        </w:rPr>
        <w:t xml:space="preserve">security revenue growth in the high single digits (constant currency)</w:t>
      </w:r>
      <w:r>
        <w:t xml:space="preserve"> </w:t>
      </w:r>
      <w:r>
        <w:t xml:space="preserve">— investors will want to see whether Q2 tracks toward this or shows signs of acceleration, particularly in the fast-growing API Security and Guardicore Segmentation sub-products (which grew 43% in FY2025). Notably, just this week (Aug 5) Akamai published new research on "shadow AI" security gaps, reinforcing the security/AI narrative ahead of the print — a sign the company is actively marketing this angle into earnings.</w:t>
      </w:r>
    </w:p>
    <w:bookmarkEnd w:id="12"/>
    <w:bookmarkStart w:id="13" w:name="X15d4a6f7f0a97f74214bef108db082be116cc1b"/>
    <w:p>
      <w:pPr>
        <w:pStyle w:val="Heading2"/>
      </w:pPr>
      <w:r>
        <w:t xml:space="preserve">The Drag: Delivery &amp; Other Cloud Applications</w:t>
      </w:r>
    </w:p>
    <w:p>
      <w:pPr>
        <w:pStyle w:val="FirstParagraph"/>
      </w:pPr>
      <w:r>
        <w:t xml:space="preserve">The legacy delivery business remains a headwind. Q1 revenue here was $389 million, down 7% year-over-year as reported and down 8% in constant currency, driven by the wraparound impact of the Edgio transaction in 2025, though management expects this rate of decline to moderate throughout the remainder of the year. Full-year guidance calls for a mid-single-digit constant-currency decline. Watch for confirmation that the year-over-year comps are indeed easing as flagged, since a re-acceleration of decline here would undercut the growth story elsewhere.</w:t>
      </w:r>
    </w:p>
    <w:bookmarkEnd w:id="13"/>
    <w:bookmarkStart w:id="14" w:name="margin-trajectory--the-key-debate"/>
    <w:p>
      <w:pPr>
        <w:pStyle w:val="Heading2"/>
      </w:pPr>
      <w:r>
        <w:t xml:space="preserve">Margin Trajectory — The Key Debate</w:t>
      </w:r>
    </w:p>
    <w:p>
      <w:pPr>
        <w:pStyle w:val="FirstParagraph"/>
      </w:pPr>
      <w:r>
        <w:t xml:space="preserve">The crux of the bull/bear debate is margin dilution from the CIS build-out. Management has been candid that profitability will be under pressure near-term: full-year non-GAAP operating margin is guided to ~26% (down from 30% a year ago), and CFO McGowan noted that large dedicated-capacity deals could carry</w:t>
      </w:r>
      <w:r>
        <w:t xml:space="preserve"> </w:t>
      </w:r>
      <w:r>
        <w:rPr>
          <w:b/>
          <w:bCs/>
        </w:rPr>
        <w:t xml:space="preserve">operating margins below the company average of ~30%</w:t>
      </w:r>
      <w:r>
        <w:t xml:space="preserve">, even as cash gross margin and EBITDA margin should expand over time as colocation investments scale. Q1 non-GAAP EPS already fell 5% y/y to $1.61 despite revenue growth, reflecting expanded colocation investments, higher depreciation and increased headcount costs tied to the CIS build-out. Expect this dynamic to persist or intensify in Q2 given the guided CapEx jump — investors should focus less on the EPS "beat/miss" itself and more on whether growth/margin trends are unfolding as management projected.</w:t>
      </w:r>
    </w:p>
    <w:bookmarkEnd w:id="14"/>
    <w:bookmarkStart w:id="15" w:name="key-questions-for-the-call"/>
    <w:p>
      <w:pPr>
        <w:pStyle w:val="Heading2"/>
      </w:pPr>
      <w:r>
        <w:t xml:space="preserve">Key Questions for the Call</w:t>
      </w:r>
    </w:p>
    <w:p>
      <w:pPr>
        <w:pStyle w:val="Compact"/>
        <w:numPr>
          <w:ilvl w:val="0"/>
          <w:numId w:val="1004"/>
        </w:numPr>
      </w:pPr>
      <w:r>
        <w:rPr>
          <w:b/>
          <w:bCs/>
        </w:rPr>
        <w:t xml:space="preserve">Pipeline conversion:</w:t>
      </w:r>
      <w:r>
        <w:t xml:space="preserve"> </w:t>
      </w:r>
      <w:r>
        <w:t xml:space="preserve">Beyond the $1.8B and $200M anchor deals, how much incremental large-deal pipeline has converted to signed contracts?</w:t>
      </w:r>
    </w:p>
    <w:p>
      <w:pPr>
        <w:pStyle w:val="Compact"/>
        <w:numPr>
          <w:ilvl w:val="0"/>
          <w:numId w:val="1004"/>
        </w:numPr>
      </w:pPr>
      <w:r>
        <w:rPr>
          <w:b/>
          <w:bCs/>
        </w:rPr>
        <w:t xml:space="preserve">GPU capacity decision:</w:t>
      </w:r>
      <w:r>
        <w:t xml:space="preserve"> </w:t>
      </w:r>
      <w:r>
        <w:t xml:space="preserve">Has Akamai committed to (or is it close to) placing the flagged incremental GPU order, and at what scale/cost?</w:t>
      </w:r>
    </w:p>
    <w:p>
      <w:pPr>
        <w:pStyle w:val="Compact"/>
        <w:numPr>
          <w:ilvl w:val="0"/>
          <w:numId w:val="1004"/>
        </w:numPr>
      </w:pPr>
      <w:r>
        <w:rPr>
          <w:b/>
          <w:bCs/>
        </w:rPr>
        <w:t xml:space="preserve">CIS margin path:</w:t>
      </w:r>
      <w:r>
        <w:t xml:space="preserve"> </w:t>
      </w:r>
      <w:r>
        <w:t xml:space="preserve">Any updated color on how gross/operating margins evolve as the $1.8B contract capacity comes online in H2 2026/H1 2027?</w:t>
      </w:r>
    </w:p>
    <w:p>
      <w:pPr>
        <w:pStyle w:val="Compact"/>
        <w:numPr>
          <w:ilvl w:val="0"/>
          <w:numId w:val="1004"/>
        </w:numPr>
      </w:pPr>
      <w:r>
        <w:rPr>
          <w:b/>
          <w:bCs/>
        </w:rPr>
        <w:t xml:space="preserve">Security growth durability:</w:t>
      </w:r>
      <w:r>
        <w:t xml:space="preserve"> </w:t>
      </w:r>
      <w:r>
        <w:t xml:space="preserve">Is API Security/Guardicore momentum sustaining, and is this "a floor" for security growth as one analyst asked management last quarter?</w:t>
      </w:r>
    </w:p>
    <w:p>
      <w:pPr>
        <w:pStyle w:val="Compact"/>
        <w:numPr>
          <w:ilvl w:val="0"/>
          <w:numId w:val="1004"/>
        </w:numPr>
      </w:pPr>
      <w:r>
        <w:rPr>
          <w:b/>
          <w:bCs/>
        </w:rPr>
        <w:t xml:space="preserve">Convertible note deployment:</w:t>
      </w:r>
      <w:r>
        <w:t xml:space="preserve"> </w:t>
      </w:r>
      <w:r>
        <w:t xml:space="preserve">How is the $2.6B raise being allocated between CapEx, debt refinancing, and buybacks?</w:t>
      </w:r>
    </w:p>
    <w:p>
      <w:pPr>
        <w:pStyle w:val="Compact"/>
        <w:numPr>
          <w:ilvl w:val="0"/>
          <w:numId w:val="1004"/>
        </w:numPr>
      </w:pPr>
      <w:r>
        <w:rPr>
          <w:b/>
          <w:bCs/>
        </w:rPr>
        <w:t xml:space="preserve">Delivery stabilization:</w:t>
      </w:r>
      <w:r>
        <w:t xml:space="preserve"> </w:t>
      </w:r>
      <w:r>
        <w:t xml:space="preserve">Is the Edgio-related decline moderating as promised?</w:t>
      </w:r>
    </w:p>
    <w:bookmarkEnd w:id="15"/>
    <w:bookmarkStart w:id="16" w:name="bottom-line"/>
    <w:p>
      <w:pPr>
        <w:pStyle w:val="Heading2"/>
      </w:pPr>
      <w:r>
        <w:t xml:space="preserve">Bottom Line</w:t>
      </w:r>
    </w:p>
    <w:p>
      <w:pPr>
        <w:pStyle w:val="FirstParagraph"/>
      </w:pPr>
      <w:r>
        <w:t xml:space="preserve">This is a "show me" quarter following an extraordinary Q1 that redefined Akamai's growth narrative from a mature CDN/security company into an AI-infrastructure story. The bar is high given the stock's volatility since May (round-tripping from ~$117 to</w:t>
      </w:r>
      <w:r>
        <w:t xml:space="preserve"> </w:t>
      </w:r>
      <m:oMath>
        <m:r>
          <m:t>161</m:t>
        </m:r>
        <m:r>
          <m:t>a</m:t>
        </m:r>
        <m:r>
          <m:t>n</m:t>
        </m:r>
        <m:r>
          <m:t>d</m:t>
        </m:r>
        <m:r>
          <m:t>b</m:t>
        </m:r>
        <m:r>
          <m:t>a</m:t>
        </m:r>
        <m:r>
          <m:t>c</m:t>
        </m:r>
        <m:r>
          <m:t>k</m:t>
        </m:r>
        <m:r>
          <m:t>t</m:t>
        </m:r>
        <m:r>
          <m:t>o</m:t>
        </m:r>
        <m:r>
          <m:t> </m:t>
        </m:r>
      </m:oMath>
      <w:r>
        <w:t xml:space="preserve">122), and the market will be less focused on whether Akamai clears the modest EPS/revenue consensus bar and more focused on: (1) continued evidence of CIS pipeline conversion and large-deal momentum, (2) capital-intensity trajectory (CapEx, potential new GPU orders, margin path), and (3) whether security growth — the steadier, higher-margin profit engine — holds up amid AI-driven demand tailwinds. A clean beat-and-raise on CIS with disciplined margin commentary would likely be well received; any signs of pipeline softness, delayed revenue ramp on the mega-contract, or worse-than-expected margin compression could reignite the volatility seen since the Q1 print.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2026-08-06T01:03:30Z</dcterms:created>
  <dcterms:modified xsi:type="dcterms:W3CDTF">2026-08-06T01:03:30Z</dcterms:modified>
</cp:coreProperties>
</file>

<file path=docProps/custom.xml><?xml version="1.0" encoding="utf-8"?>
<Properties xmlns="http://schemas.openxmlformats.org/officeDocument/2006/custom-properties" xmlns:vt="http://schemas.openxmlformats.org/officeDocument/2006/docPropsVTypes"/>
</file>