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akam-q2-2026-earnings-preview"/>
    <w:p>
      <w:pPr>
        <w:pStyle w:val="Heading1"/>
      </w:pPr>
      <w:r>
        <w:t xml:space="preserve">AKAM Q2 2026 Earnings Preview</w:t>
      </w:r>
    </w:p>
    <w:p>
      <w:pPr>
        <w:pStyle w:val="BlockText"/>
      </w:pPr>
      <w:r>
        <w:rPr>
          <w:b/>
          <w:bCs/>
        </w:rPr>
        <w:t xml:space="preserve">Timing clarification:</w:t>
      </w:r>
      <w:r>
        <w:t xml:space="preserve"> </w:t>
      </w:r>
      <w:r>
        <w:t xml:space="preserve">Akamai reports</w:t>
      </w:r>
      <w:r>
        <w:t xml:space="preserve"> </w:t>
      </w:r>
      <w:r>
        <w:rPr>
          <w:b/>
          <w:bCs/>
        </w:rPr>
        <w:t xml:space="preserve">today, Thursday, August 6, 2026</w:t>
      </w:r>
      <w:r>
        <w:t xml:space="preserve">, after the U.S. market close—not tomorrow. The earnings call is scheduled for</w:t>
      </w:r>
      <w:r>
        <w:t xml:space="preserve"> </w:t>
      </w:r>
      <w:r>
        <w:rPr>
          <w:b/>
          <w:bCs/>
        </w:rPr>
        <w:t xml:space="preserve">4:30 p.m. ET</w:t>
      </w:r>
      <w:r>
        <w:t xml:space="preserve">. (</w:t>
      </w:r>
      <w:hyperlink r:id="rId9">
        <w:r>
          <w:rPr>
            <w:rStyle w:val="Hyperlink"/>
          </w:rPr>
          <w:t xml:space="preserve">ir.akamai.com</w:t>
        </w:r>
      </w:hyperlink>
      <w:r>
        <w:t xml:space="preserve">)</w:t>
      </w:r>
    </w:p>
    <w:bookmarkStart w:id="10" w:name="investment-setup"/>
    <w:p>
      <w:pPr>
        <w:pStyle w:val="Heading2"/>
      </w:pPr>
      <w:r>
        <w:t xml:space="preserve">Investment setup</w:t>
      </w:r>
    </w:p>
    <w:p>
      <w:pPr>
        <w:pStyle w:val="FirstParagraph"/>
      </w:pPr>
      <w:r>
        <w:t xml:space="preserve">This report is less about whether Akamai beats Q2 consensus by a few million dollars and more about whether management can</w:t>
      </w:r>
      <w:r>
        <w:t xml:space="preserve"> </w:t>
      </w:r>
      <w:r>
        <w:rPr>
          <w:b/>
          <w:bCs/>
        </w:rPr>
        <w:t xml:space="preserve">de-risk its transformation into an AI-infrastructure provider</w:t>
      </w:r>
      <w:r>
        <w:t xml:space="preserve">.</w:t>
      </w:r>
    </w:p>
    <w:p>
      <w:pPr>
        <w:pStyle w:val="BodyText"/>
      </w:pPr>
      <w:r>
        <w:t xml:space="preserve">The stock surged roughly 27% after Q1, when Akamai disclosed a seven-year,</w:t>
      </w:r>
      <w:r>
        <w:t xml:space="preserve"> </w:t>
      </w:r>
      <m:oMath>
        <m:r>
          <m:t>1.8</m:t>
        </m:r>
        <m:r>
          <m:t>b</m:t>
        </m:r>
        <m:r>
          <m:t>i</m:t>
        </m:r>
        <m:r>
          <m:t>l</m:t>
        </m:r>
        <m:r>
          <m:t>l</m:t>
        </m:r>
        <m:r>
          <m:t>i</m:t>
        </m:r>
        <m:r>
          <m:t>o</m:t>
        </m:r>
        <m:r>
          <m:t>n</m:t>
        </m:r>
        <m:r>
          <m:t>c</m:t>
        </m:r>
        <m:r>
          <m:t>l</m:t>
        </m:r>
        <m:r>
          <m:t>o</m:t>
        </m:r>
        <m:r>
          <m:t>u</m:t>
        </m:r>
        <m:r>
          <m:t>d</m:t>
        </m:r>
        <m:r>
          <m:t>i</m:t>
        </m:r>
        <m:r>
          <m:t>n</m:t>
        </m:r>
        <m:r>
          <m:t>f</m:t>
        </m:r>
        <m:r>
          <m:t>r</m:t>
        </m:r>
        <m:r>
          <m:t>a</m:t>
        </m:r>
        <m:r>
          <m:t>s</m:t>
        </m:r>
        <m:r>
          <m:t>t</m:t>
        </m:r>
        <m:r>
          <m:t>r</m:t>
        </m:r>
        <m:r>
          <m:t>u</m:t>
        </m:r>
        <m:r>
          <m:t>c</m:t>
        </m:r>
        <m:r>
          <m:t>t</m:t>
        </m:r>
        <m:r>
          <m:t>u</m:t>
        </m:r>
        <m:r>
          <m:t>r</m:t>
        </m:r>
        <m:r>
          <m:t>e</m:t>
        </m:r>
        <m:r>
          <m:t>c</m:t>
        </m:r>
        <m:r>
          <m:t>o</m:t>
        </m:r>
        <m:r>
          <m:t>m</m:t>
        </m:r>
        <m:r>
          <m:t>m</m:t>
        </m:r>
        <m:r>
          <m:t>i</m:t>
        </m:r>
        <m:r>
          <m:t>t</m:t>
        </m:r>
        <m:r>
          <m:t>m</m:t>
        </m:r>
        <m:r>
          <m:t>e</m:t>
        </m:r>
        <m:r>
          <m:t>n</m:t>
        </m:r>
        <m:r>
          <m:t>t</m:t>
        </m:r>
        <m:r>
          <m:rPr>
            <m:sty m:val="p"/>
          </m:rPr>
          <m:t>*</m:t>
        </m:r>
        <m:r>
          <m:rPr>
            <m:sty m:val="p"/>
          </m:rPr>
          <m:t>*</m:t>
        </m:r>
        <m:r>
          <m:t>f</m:t>
        </m:r>
        <m:r>
          <m:t>r</m:t>
        </m:r>
        <m:r>
          <m:t>o</m:t>
        </m:r>
        <m:r>
          <m:t>m</m:t>
        </m:r>
        <m:r>
          <m:t>a</m:t>
        </m:r>
        <m:r>
          <m:t>f</m:t>
        </m:r>
        <m:r>
          <m:t>r</m:t>
        </m:r>
        <m:r>
          <m:t>o</m:t>
        </m:r>
        <m:r>
          <m:t>n</m:t>
        </m:r>
        <m:r>
          <m:t>t</m:t>
        </m:r>
        <m:r>
          <m:t>i</m:t>
        </m:r>
        <m:r>
          <m:t>e</m:t>
        </m:r>
        <m:r>
          <m:t>r</m:t>
        </m:r>
        <m:r>
          <m:rPr>
            <m:sty m:val="p"/>
          </m:rPr>
          <m:t>−</m:t>
        </m:r>
        <m:r>
          <m:t>m</m:t>
        </m:r>
        <m:r>
          <m:t>o</m:t>
        </m:r>
        <m:r>
          <m:t>d</m:t>
        </m:r>
        <m:r>
          <m:t>e</m:t>
        </m:r>
        <m:r>
          <m:t>l</m:t>
        </m:r>
        <m:r>
          <m:t>c</m:t>
        </m:r>
        <m:r>
          <m:t>o</m:t>
        </m:r>
        <m:r>
          <m:t>m</m:t>
        </m:r>
        <m:r>
          <m:t>p</m:t>
        </m:r>
        <m:r>
          <m:t>a</m:t>
        </m:r>
        <m:r>
          <m:t>n</m:t>
        </m:r>
        <m:r>
          <m:t>y</m:t>
        </m:r>
        <m:r>
          <m:rPr>
            <m:sty m:val="p"/>
          </m:rPr>
          <m:t>.</m:t>
        </m:r>
        <m:r>
          <m:t>I</m:t>
        </m:r>
        <m:r>
          <m:t>t</m:t>
        </m:r>
        <m:r>
          <m:t>s</m:t>
        </m:r>
        <m:r>
          <m:t>u</m:t>
        </m:r>
        <m:r>
          <m:t>b</m:t>
        </m:r>
        <m:r>
          <m:t>s</m:t>
        </m:r>
        <m:r>
          <m:t>e</m:t>
        </m:r>
        <m:r>
          <m:t>q</m:t>
        </m:r>
        <m:r>
          <m:t>u</m:t>
        </m:r>
        <m:r>
          <m:t>e</m:t>
        </m:r>
        <m:r>
          <m:t>n</m:t>
        </m:r>
        <m:r>
          <m:t>t</m:t>
        </m:r>
        <m:r>
          <m:t>l</m:t>
        </m:r>
        <m:r>
          <m:t>y</m:t>
        </m:r>
        <m:r>
          <m:t>g</m:t>
        </m:r>
        <m:r>
          <m:t>a</m:t>
        </m:r>
        <m:r>
          <m:t>v</m:t>
        </m:r>
        <m:r>
          <m:t>e</m:t>
        </m:r>
        <m:r>
          <m:t>b</m:t>
        </m:r>
        <m:r>
          <m:t>a</m:t>
        </m:r>
        <m:r>
          <m:t>c</m:t>
        </m:r>
        <m:r>
          <m:t>k</m:t>
        </m:r>
        <m:r>
          <m:t>m</m:t>
        </m:r>
        <m:r>
          <m:t>o</m:t>
        </m:r>
        <m:r>
          <m:t>s</m:t>
        </m:r>
        <m:r>
          <m:t>t</m:t>
        </m:r>
        <m:r>
          <m:t>o</m:t>
        </m:r>
        <m:r>
          <m:t>f</m:t>
        </m:r>
        <m:r>
          <m:t>t</m:t>
        </m:r>
        <m:r>
          <m:t>h</m:t>
        </m:r>
        <m:r>
          <m:t>a</m:t>
        </m:r>
        <m:r>
          <m:t>t</m:t>
        </m:r>
        <m:r>
          <m:t>m</m:t>
        </m:r>
        <m:r>
          <m:t>o</m:t>
        </m:r>
        <m:r>
          <m:t>v</m:t>
        </m:r>
        <m:r>
          <m:t>e</m:t>
        </m:r>
        <m:r>
          <m:rPr>
            <m:sty m:val="p"/>
          </m:rPr>
          <m:t>:</m:t>
        </m:r>
        <m:r>
          <m:t>A</m:t>
        </m:r>
        <m:r>
          <m:t>K</m:t>
        </m:r>
        <m:r>
          <m:t>A</m:t>
        </m:r>
        <m:r>
          <m:t>M</m:t>
        </m:r>
        <m:r>
          <m:t>c</m:t>
        </m:r>
        <m:r>
          <m:t>l</m:t>
        </m:r>
        <m:r>
          <m:t>o</m:t>
        </m:r>
        <m:r>
          <m:t>s</m:t>
        </m:r>
        <m:r>
          <m:t>e</m:t>
        </m:r>
        <m:r>
          <m:t>d</m:t>
        </m:r>
        <m:r>
          <m:t>a</m:t>
        </m:r>
        <m:r>
          <m:t>t</m:t>
        </m:r>
        <m:r>
          <m:rPr>
            <m:sty m:val="p"/>
          </m:rPr>
          <m:t>*</m:t>
        </m:r>
        <m:r>
          <m:rPr>
            <m:sty m:val="p"/>
          </m:rPr>
          <m:t>*</m:t>
        </m:r>
      </m:oMath>
      <w:r>
        <w:rPr>
          <w:b/>
          <w:bCs/>
        </w:rPr>
        <w:t xml:space="preserve">122.30 on August 5</w:t>
      </w:r>
      <w:r>
        <w:t xml:space="preserve">, about 20% below its post-earnings peak but still approximately 5% above its pre-Q1-report price.</w:t>
      </w:r>
    </w:p>
    <w:p>
      <w:pPr>
        <w:pStyle w:val="BodyText"/>
      </w:pPr>
      <w:r>
        <w:t xml:space="preserve">That leaves expectations in an interesting place. Investors are no longer paying the peak AI premium, but they will still expect tangible evidence that:</w:t>
      </w:r>
    </w:p>
    <w:p>
      <w:pPr>
        <w:pStyle w:val="Compact"/>
        <w:numPr>
          <w:ilvl w:val="0"/>
          <w:numId w:val="1001"/>
        </w:numPr>
      </w:pPr>
      <w:r>
        <w:t xml:space="preserve">The $1.8 billion contract is moving into backlog and deployment.</w:t>
      </w:r>
    </w:p>
    <w:p>
      <w:pPr>
        <w:pStyle w:val="Compact"/>
        <w:numPr>
          <w:ilvl w:val="0"/>
          <w:numId w:val="1001"/>
        </w:numPr>
      </w:pPr>
      <w:r>
        <w:t xml:space="preserve">Cloud Infrastructure Services growth is accelerating beyond Q1’s 40%.</w:t>
      </w:r>
    </w:p>
    <w:p>
      <w:pPr>
        <w:pStyle w:val="Compact"/>
        <w:numPr>
          <w:ilvl w:val="0"/>
          <w:numId w:val="1001"/>
        </w:numPr>
      </w:pPr>
      <w:r>
        <w:t xml:space="preserve">Additional GPU demand can justify Akamai’s sharply higher capital intensity.</w:t>
      </w:r>
    </w:p>
    <w:p>
      <w:pPr>
        <w:pStyle w:val="Compact"/>
        <w:numPr>
          <w:ilvl w:val="0"/>
          <w:numId w:val="1001"/>
        </w:numPr>
      </w:pPr>
      <w:r>
        <w:t xml:space="preserve">Security remains healthy enough to support the investment cycle.</w:t>
      </w:r>
    </w:p>
    <w:p>
      <w:pPr>
        <w:pStyle w:val="Compact"/>
        <w:numPr>
          <w:ilvl w:val="0"/>
          <w:numId w:val="1001"/>
        </w:numPr>
      </w:pPr>
      <w:r>
        <w:t xml:space="preserve">Management’s forecast for double-digit company growth in 2027 is credible.</w:t>
      </w:r>
    </w:p>
    <w:bookmarkEnd w:id="10"/>
    <w:bookmarkStart w:id="12" w:name="headline-expectations"/>
    <w:p>
      <w:pPr>
        <w:pStyle w:val="Heading2"/>
      </w:pPr>
      <w:r>
        <w:t xml:space="preserve">Headline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management guidance</w:t>
            </w:r>
          </w:p>
        </w:tc>
        <w:tc>
          <w:tcPr/>
          <w:p>
            <w:pPr>
              <w:pStyle w:val="Compact"/>
              <w:jc w:val="right"/>
            </w:pPr>
            <w:r>
              <w:t xml:space="preserve">Street snapshot</w:t>
            </w:r>
          </w:p>
        </w:tc>
      </w:tr>
      <w:tr>
        <w:tc>
          <w:tcPr/>
          <w:p>
            <w:pPr>
              <w:pStyle w:val="Compact"/>
            </w:pPr>
            <w:r>
              <w:t xml:space="preserve">Revenue</w:t>
            </w:r>
          </w:p>
        </w:tc>
        <w:tc>
          <w:tcPr/>
          <w:p>
            <w:pPr>
              <w:pStyle w:val="Compact"/>
              <w:jc w:val="right"/>
            </w:pPr>
            <m:oMath>
              <m:r>
                <m:t>1.075</m:t>
              </m:r>
              <m:r>
                <m:t>B</m:t>
              </m:r>
              <m:r>
                <m:rPr>
                  <m:sty m:val="p"/>
                </m:rPr>
                <m:t>–</m:t>
              </m:r>
            </m:oMath>
            <w:r>
              <w:rPr>
                <w:b/>
                <w:bCs/>
              </w:rPr>
              <w:t xml:space="preserve">1.100B</w:t>
            </w:r>
          </w:p>
        </w:tc>
        <w:tc>
          <w:tcPr/>
          <w:p>
            <w:pPr>
              <w:pStyle w:val="Compact"/>
              <w:jc w:val="right"/>
            </w:pPr>
            <w:r>
              <w:t xml:space="preserve">Approximately</w:t>
            </w:r>
            <w:r>
              <w:t xml:space="preserve"> </w:t>
            </w:r>
            <w:r>
              <w:rPr>
                <w:b/>
                <w:bCs/>
              </w:rPr>
              <w:t xml:space="preserve">$1.09B</w:t>
            </w:r>
          </w:p>
        </w:tc>
      </w:tr>
      <w:tr>
        <w:tc>
          <w:tcPr/>
          <w:p>
            <w:pPr>
              <w:pStyle w:val="Compact"/>
            </w:pPr>
            <w:r>
              <w:t xml:space="preserve">Non-GAAP EPS</w:t>
            </w:r>
          </w:p>
        </w:tc>
        <w:tc>
          <w:tcPr/>
          <w:p>
            <w:pPr>
              <w:pStyle w:val="Compact"/>
              <w:jc w:val="right"/>
            </w:pPr>
            <m:oMath>
              <m:r>
                <m:t>1.45</m:t>
              </m:r>
              <m:r>
                <m:rPr>
                  <m:sty m:val="p"/>
                </m:rPr>
                <m:t>–</m:t>
              </m:r>
            </m:oMath>
            <w:r>
              <w:rPr>
                <w:b/>
                <w:bCs/>
              </w:rPr>
              <w:t xml:space="preserve">1.65</w:t>
            </w:r>
          </w:p>
        </w:tc>
        <w:tc>
          <w:tcPr/>
          <w:p>
            <w:pPr>
              <w:pStyle w:val="Compact"/>
              <w:jc w:val="right"/>
            </w:pPr>
            <w:r>
              <w:t xml:space="preserve">Approximately</w:t>
            </w:r>
            <w:r>
              <w:t xml:space="preserve"> </w:t>
            </w:r>
            <w:r>
              <w:rPr>
                <w:b/>
                <w:bCs/>
              </w:rPr>
              <w:t xml:space="preserve">$1.45</w:t>
            </w:r>
          </w:p>
        </w:tc>
      </w:tr>
      <w:tr>
        <w:tc>
          <w:tcPr/>
          <w:p>
            <w:pPr>
              <w:pStyle w:val="Compact"/>
            </w:pPr>
            <w:r>
              <w:t xml:space="preserve">Non-GAAP operating margin</w:t>
            </w:r>
          </w:p>
        </w:tc>
        <w:tc>
          <w:tcPr/>
          <w:p>
            <w:pPr>
              <w:pStyle w:val="Compact"/>
              <w:jc w:val="right"/>
            </w:pPr>
            <w:r>
              <w:rPr>
                <w:b/>
                <w:bCs/>
              </w:rPr>
              <w:t xml:space="preserve">25%–26%</w:t>
            </w:r>
          </w:p>
        </w:tc>
        <w:tc>
          <w:tcPr/>
          <w:p>
            <w:pPr>
              <w:pStyle w:val="Compact"/>
              <w:jc w:val="right"/>
            </w:pPr>
            <w:r>
              <w:t xml:space="preserve">—</w:t>
            </w:r>
          </w:p>
        </w:tc>
      </w:tr>
      <w:tr>
        <w:tc>
          <w:tcPr/>
          <w:p>
            <w:pPr>
              <w:pStyle w:val="Compact"/>
            </w:pPr>
            <w:r>
              <w:t xml:space="preserve">Adjusted EBITDA margin</w:t>
            </w:r>
          </w:p>
        </w:tc>
        <w:tc>
          <w:tcPr/>
          <w:p>
            <w:pPr>
              <w:pStyle w:val="Compact"/>
              <w:jc w:val="right"/>
            </w:pPr>
            <w:r>
              <w:rPr>
                <w:b/>
                <w:bCs/>
              </w:rPr>
              <w:t xml:space="preserve">38%–39%</w:t>
            </w:r>
          </w:p>
        </w:tc>
        <w:tc>
          <w:tcPr/>
          <w:p>
            <w:pPr>
              <w:pStyle w:val="Compact"/>
              <w:jc w:val="right"/>
            </w:pPr>
            <w:r>
              <w:t xml:space="preserve">—</w:t>
            </w:r>
          </w:p>
        </w:tc>
      </w:tr>
      <w:tr>
        <w:tc>
          <w:tcPr/>
          <w:p>
            <w:pPr>
              <w:pStyle w:val="Compact"/>
            </w:pPr>
            <w:r>
              <w:t xml:space="preserve">Capital expenditures</w:t>
            </w:r>
          </w:p>
        </w:tc>
        <w:tc>
          <w:tcPr/>
          <w:p>
            <w:pPr>
              <w:pStyle w:val="Compact"/>
              <w:jc w:val="right"/>
            </w:pPr>
            <m:oMath>
              <m:r>
                <m:t>433</m:t>
              </m:r>
              <m:r>
                <m:t>M</m:t>
              </m:r>
              <m:r>
                <m:rPr>
                  <m:sty m:val="p"/>
                </m:rPr>
                <m:t>–</m:t>
              </m:r>
            </m:oMath>
            <w:r>
              <w:rPr>
                <w:b/>
                <w:bCs/>
              </w:rPr>
              <w:t xml:space="preserve">453M</w:t>
            </w:r>
          </w:p>
        </w:tc>
        <w:tc>
          <w:tcPr/>
          <w:p>
            <w:pPr>
              <w:pStyle w:val="Compact"/>
              <w:jc w:val="right"/>
            </w:pPr>
            <w:r>
              <w:t xml:space="preserve">—</w:t>
            </w:r>
          </w:p>
        </w:tc>
      </w:tr>
    </w:tbl>
    <w:p>
      <w:pPr>
        <w:pStyle w:val="BodyText"/>
      </w:pPr>
      <w:r>
        <w:t xml:space="preserve">The published consensus snapshot puts revenue near the middle of management’s range and EPS near its lower end. (</w:t>
      </w:r>
      <w:hyperlink r:id="rId11">
        <w:r>
          <w:rPr>
            <w:rStyle w:val="Hyperlink"/>
          </w:rPr>
          <w:t xml:space="preserve">ir.akamai.com</w:t>
        </w:r>
      </w:hyperlink>
      <w:r>
        <w:t xml:space="preserve">)</w:t>
      </w:r>
    </w:p>
    <w:p>
      <w:pPr>
        <w:pStyle w:val="BodyText"/>
      </w:pPr>
      <w:r>
        <w:t xml:space="preserve">A simple headline beat should therefore be achievable if operations tracked normally. The more consequential market reaction will probably come from</w:t>
      </w:r>
      <w:r>
        <w:t xml:space="preserve"> </w:t>
      </w:r>
      <w:r>
        <w:rPr>
          <w:b/>
          <w:bCs/>
        </w:rPr>
        <w:t xml:space="preserve">Q3 guidance, full-year revisions, CIS metrics and commentary about 2027</w:t>
      </w:r>
      <w:r>
        <w:t xml:space="preserve">.</w:t>
      </w:r>
    </w:p>
    <w:p>
      <w:r>
        <w:pict>
          <v:rect style="width:0;height:1.5pt" o:hralign="center" o:hrstd="t" o:hr="t"/>
        </w:pict>
      </w:r>
    </w:p>
    <w:bookmarkEnd w:id="12"/>
    <w:bookmarkStart w:id="20" w:name="the-five-things-that-matter-most"/>
    <w:p>
      <w:pPr>
        <w:pStyle w:val="Heading2"/>
      </w:pPr>
      <w:r>
        <w:t xml:space="preserve">The five things that matter most</w:t>
      </w:r>
    </w:p>
    <w:bookmarkStart w:id="13" w:name="X2f7f3330913df04b116d9af2515a40a69c6f53a"/>
    <w:p>
      <w:pPr>
        <w:pStyle w:val="Heading3"/>
      </w:pPr>
      <w:r>
        <w:t xml:space="preserve">1. Cloud growth—and proof that the mega-contract is entering backlog</w:t>
      </w:r>
    </w:p>
    <w:p>
      <w:pPr>
        <w:pStyle w:val="FirstParagraph"/>
      </w:pPr>
      <w:r>
        <w:t xml:space="preserve">Cloud Infrastructure Services, or CIS, generated</w:t>
      </w:r>
      <w:r>
        <w:t xml:space="preserve"> </w:t>
      </w:r>
      <w:r>
        <w:rPr>
          <w:b/>
          <w:bCs/>
        </w:rPr>
        <w:t xml:space="preserve">$95 million in Q1</w:t>
      </w:r>
      <w:r>
        <w:t xml:space="preserve">, growing 40% year over year. Management raised its 2026 constant-currency CIS outlook to</w:t>
      </w:r>
      <w:r>
        <w:t xml:space="preserve"> </w:t>
      </w:r>
      <w:r>
        <w:rPr>
          <w:b/>
          <w:bCs/>
        </w:rPr>
        <w:t xml:space="preserve">at least 50% growth</w:t>
      </w:r>
      <w:r>
        <w:t xml:space="preserve">, implying acceleration through the year.</w:t>
      </w:r>
    </w:p>
    <w:p>
      <w:pPr>
        <w:pStyle w:val="BodyText"/>
      </w:pPr>
      <w:r>
        <w:t xml:space="preserve">The</w:t>
      </w:r>
      <w:r>
        <w:t xml:space="preserve"> </w:t>
      </w:r>
      <m:oMath>
        <m:r>
          <m:t>1.8</m:t>
        </m:r>
        <m:r>
          <m:t>b</m:t>
        </m:r>
        <m:r>
          <m:t>i</m:t>
        </m:r>
        <m:r>
          <m:t>l</m:t>
        </m:r>
        <m:r>
          <m:t>l</m:t>
        </m:r>
        <m:r>
          <m:t>i</m:t>
        </m:r>
        <m:r>
          <m:t>o</m:t>
        </m:r>
        <m:r>
          <m:t>n</m:t>
        </m:r>
        <m:r>
          <m:t>c</m:t>
        </m:r>
        <m:r>
          <m:t>o</m:t>
        </m:r>
        <m:r>
          <m:t>n</m:t>
        </m:r>
        <m:r>
          <m:t>t</m:t>
        </m:r>
        <m:r>
          <m:t>r</m:t>
        </m:r>
        <m:r>
          <m:t>a</m:t>
        </m:r>
        <m:r>
          <m:t>c</m:t>
        </m:r>
        <m:r>
          <m:t>t</m:t>
        </m:r>
        <m:r>
          <m:t>i</m:t>
        </m:r>
        <m:r>
          <m:t>s</m:t>
        </m:r>
        <m:r>
          <m:t>n</m:t>
        </m:r>
        <m:r>
          <m:t>o</m:t>
        </m:r>
        <m:r>
          <m:t>t</m:t>
        </m:r>
        <m:r>
          <m:t>e</m:t>
        </m:r>
        <m:r>
          <m:t>x</m:t>
        </m:r>
        <m:r>
          <m:t>p</m:t>
        </m:r>
        <m:r>
          <m:t>e</m:t>
        </m:r>
        <m:r>
          <m:t>c</m:t>
        </m:r>
        <m:r>
          <m:t>t</m:t>
        </m:r>
        <m:r>
          <m:t>e</m:t>
        </m:r>
        <m:r>
          <m:t>d</m:t>
        </m:r>
        <m:r>
          <m:t>t</m:t>
        </m:r>
        <m:r>
          <m:t>o</m:t>
        </m:r>
        <m:r>
          <m:t>c</m:t>
        </m:r>
        <m:r>
          <m:t>o</m:t>
        </m:r>
        <m:r>
          <m:t>n</m:t>
        </m:r>
        <m:r>
          <m:t>t</m:t>
        </m:r>
        <m:r>
          <m:t>r</m:t>
        </m:r>
        <m:r>
          <m:t>i</m:t>
        </m:r>
        <m:r>
          <m:t>b</m:t>
        </m:r>
        <m:r>
          <m:t>u</m:t>
        </m:r>
        <m:r>
          <m:t>t</m:t>
        </m:r>
        <m:r>
          <m:t>e</m:t>
        </m:r>
        <m:r>
          <m:t>m</m:t>
        </m:r>
        <m:r>
          <m:t>a</m:t>
        </m:r>
        <m:r>
          <m:t>t</m:t>
        </m:r>
        <m:r>
          <m:t>e</m:t>
        </m:r>
        <m:r>
          <m:t>r</m:t>
        </m:r>
        <m:r>
          <m:t>i</m:t>
        </m:r>
        <m:r>
          <m:t>a</m:t>
        </m:r>
        <m:r>
          <m:t>l</m:t>
        </m:r>
        <m:r>
          <m:t>l</m:t>
        </m:r>
        <m:r>
          <m:t>y</m:t>
        </m:r>
        <m:r>
          <m:t>t</m:t>
        </m:r>
        <m:r>
          <m:t>o</m:t>
        </m:r>
        <m:r>
          <m:t>Q</m:t>
        </m:r>
        <m:r>
          <m:t>2</m:t>
        </m:r>
        <m:r>
          <m:t>r</m:t>
        </m:r>
        <m:r>
          <m:t>e</m:t>
        </m:r>
        <m:r>
          <m:t>v</m:t>
        </m:r>
        <m:r>
          <m:t>e</m:t>
        </m:r>
        <m:r>
          <m:t>n</m:t>
        </m:r>
        <m:r>
          <m:t>u</m:t>
        </m:r>
        <m:r>
          <m:t>e</m:t>
        </m:r>
        <m:r>
          <m:rPr>
            <m:sty m:val="p"/>
          </m:rPr>
          <m:t>.</m:t>
        </m:r>
        <m:r>
          <m:t>M</m:t>
        </m:r>
        <m:r>
          <m:t>a</m:t>
        </m:r>
        <m:r>
          <m:t>n</m:t>
        </m:r>
        <m:r>
          <m:t>a</m:t>
        </m:r>
        <m:r>
          <m:t>g</m:t>
        </m:r>
        <m:r>
          <m:t>e</m:t>
        </m:r>
        <m:r>
          <m:t>m</m:t>
        </m:r>
        <m:r>
          <m:t>e</m:t>
        </m:r>
        <m:r>
          <m:t>n</m:t>
        </m:r>
        <m:r>
          <m:t>t</m:t>
        </m:r>
        <m:r>
          <m:t>p</m:t>
        </m:r>
        <m:r>
          <m:t>r</m:t>
        </m:r>
        <m:r>
          <m:t>e</m:t>
        </m:r>
        <m:r>
          <m:t>v</m:t>
        </m:r>
        <m:r>
          <m:t>i</m:t>
        </m:r>
        <m:r>
          <m:t>o</m:t>
        </m:r>
        <m:r>
          <m:t>u</m:t>
        </m:r>
        <m:r>
          <m:t>s</m:t>
        </m:r>
        <m:r>
          <m:t>l</m:t>
        </m:r>
        <m:r>
          <m:t>y</m:t>
        </m:r>
        <m:r>
          <m:t>s</m:t>
        </m:r>
        <m:r>
          <m:t>a</m:t>
        </m:r>
        <m:r>
          <m:t>i</m:t>
        </m:r>
        <m:r>
          <m:t>d</m:t>
        </m:r>
        <m:r>
          <m:t>r</m:t>
        </m:r>
        <m:r>
          <m:t>e</m:t>
        </m:r>
        <m:r>
          <m:t>v</m:t>
        </m:r>
        <m:r>
          <m:t>e</m:t>
        </m:r>
        <m:r>
          <m:t>n</m:t>
        </m:r>
        <m:r>
          <m:t>u</m:t>
        </m:r>
        <m:r>
          <m:t>e</m:t>
        </m:r>
        <m:r>
          <m:t>w</m:t>
        </m:r>
        <m:r>
          <m:t>o</m:t>
        </m:r>
        <m:r>
          <m:t>u</m:t>
        </m:r>
        <m:r>
          <m:t>l</m:t>
        </m:r>
        <m:r>
          <m:t>d</m:t>
        </m:r>
        <m:r>
          <m:t>b</m:t>
        </m:r>
        <m:r>
          <m:t>e</m:t>
        </m:r>
        <m:r>
          <m:t>g</m:t>
        </m:r>
        <m:r>
          <m:t>i</m:t>
        </m:r>
        <m:r>
          <m:t>n</m:t>
        </m:r>
        <m:r>
          <m:t>r</m:t>
        </m:r>
        <m:r>
          <m:t>a</m:t>
        </m:r>
        <m:r>
          <m:t>m</m:t>
        </m:r>
        <m:r>
          <m:t>p</m:t>
        </m:r>
        <m:r>
          <m:t>i</m:t>
        </m:r>
        <m:r>
          <m:t>n</m:t>
        </m:r>
        <m:r>
          <m:t>g</m:t>
        </m:r>
        <m:r>
          <m:t>i</m:t>
        </m:r>
        <m:r>
          <m:t>n</m:t>
        </m:r>
        <m:r>
          <m:t>Q</m:t>
        </m:r>
        <m:r>
          <m:t>4</m:t>
        </m:r>
        <m:r>
          <m:rPr>
            <m:sty m:val="p"/>
          </m:rPr>
          <m:t>,</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t xml:space="preserve">20 million–$25 million** expected this year. Consequently, investors should evaluate Q2 CIS growth mainly as evidence of the health of the</w:t>
      </w:r>
      <w:r>
        <w:t xml:space="preserve"> </w:t>
      </w:r>
      <w:r>
        <w:rPr>
          <w:b/>
          <w:bCs/>
        </w:rPr>
        <w:t xml:space="preserve">underlying cloud business and broader customer pipeline</w:t>
      </w:r>
      <w:r>
        <w:t xml:space="preserve">, rather than as a referendum on the new contract.</w:t>
      </w:r>
    </w:p>
    <w:p>
      <w:pPr>
        <w:pStyle w:val="BodyText"/>
      </w:pPr>
      <w:r>
        <w:t xml:space="preserve">The clearest near-term validation may be remaining performance obligations:</w:t>
      </w:r>
    </w:p>
    <w:p>
      <w:pPr>
        <w:pStyle w:val="Compact"/>
        <w:numPr>
          <w:ilvl w:val="0"/>
          <w:numId w:val="1002"/>
        </w:numPr>
      </w:pPr>
      <w:r>
        <w:t xml:space="preserve">Akamai had</w:t>
      </w:r>
      <w:r>
        <w:t xml:space="preserve"> </w:t>
      </w:r>
      <w:r>
        <w:rPr>
          <w:b/>
          <w:bCs/>
        </w:rPr>
        <w:t xml:space="preserve">$5.5 billion of RPO</w:t>
      </w:r>
      <w:r>
        <w:t xml:space="preserve"> </w:t>
      </w:r>
      <w:r>
        <w:t xml:space="preserve">at March 31.</w:t>
      </w:r>
    </w:p>
    <w:p>
      <w:pPr>
        <w:pStyle w:val="Compact"/>
        <w:numPr>
          <w:ilvl w:val="0"/>
          <w:numId w:val="1002"/>
        </w:numPr>
      </w:pPr>
      <w:r>
        <w:t xml:space="preserve">Management said most of the $1.8 billion commitment should begin appearing in RPO in the subsequent quarter, although deployment and pricing mechanics could delay full recognition.</w:t>
      </w:r>
    </w:p>
    <w:p>
      <w:pPr>
        <w:pStyle w:val="Compact"/>
        <w:numPr>
          <w:ilvl w:val="0"/>
          <w:numId w:val="1002"/>
        </w:numPr>
      </w:pPr>
      <w:r>
        <w:t xml:space="preserve">A substantial RPO increase would help demonstrate that the contract is firm, funded and progressing as planned.</w:t>
      </w:r>
    </w:p>
    <w:p>
      <w:pPr>
        <w:pStyle w:val="FirstParagraph"/>
      </w:pPr>
      <w:r>
        <w:rPr>
          <w:b/>
          <w:bCs/>
        </w:rPr>
        <w:t xml:space="preserve">Positive signal:</w:t>
      </w:r>
      <w:r>
        <w:t xml:space="preserve"> </w:t>
      </w:r>
      <w:r>
        <w:t xml:space="preserve">CIS growth accelerates, RPO rises materially, and management discusses additional large committed-capacity opportunities.</w:t>
      </w:r>
    </w:p>
    <w:p>
      <w:pPr>
        <w:pStyle w:val="BodyText"/>
      </w:pPr>
      <w:r>
        <w:rPr>
          <w:b/>
          <w:bCs/>
        </w:rPr>
        <w:t xml:space="preserve">Negative signal:</w:t>
      </w:r>
      <w:r>
        <w:t xml:space="preserve"> </w:t>
      </w:r>
      <w:r>
        <w:t xml:space="preserve">CIS growth remains near 40%, the RPO increase is smaller than expected without a clear explanation, or contract deployment slips.</w:t>
      </w:r>
    </w:p>
    <w:bookmarkEnd w:id="13"/>
    <w:bookmarkStart w:id="15" w:name="X12e0ffbadce65fe7452b92f60b885b33375ef7f"/>
    <w:p>
      <w:pPr>
        <w:pStyle w:val="Heading3"/>
      </w:pPr>
      <w:r>
        <w:t xml:space="preserve">2. Capex has become the central debate</w:t>
      </w:r>
    </w:p>
    <w:p>
      <w:pPr>
        <w:pStyle w:val="FirstParagraph"/>
      </w:pPr>
      <w:r>
        <w:t xml:space="preserve">Akamai guided to</w:t>
      </w:r>
      <w:r>
        <w:t xml:space="preserve"> </w:t>
      </w:r>
      <m:oMath>
        <m:r>
          <m:t>433</m:t>
        </m:r>
        <m:r>
          <m:t>m</m:t>
        </m:r>
        <m:r>
          <m:t>i</m:t>
        </m:r>
        <m:r>
          <m:t>l</m:t>
        </m:r>
        <m:r>
          <m:t>l</m:t>
        </m:r>
        <m:r>
          <m:t>i</m:t>
        </m:r>
        <m:r>
          <m:t>o</m:t>
        </m:r>
        <m:r>
          <m:t>n</m:t>
        </m:r>
        <m:r>
          <m:rPr>
            <m:sty m:val="p"/>
          </m:rPr>
          <m:t>–</m:t>
        </m:r>
      </m:oMath>
      <w:r>
        <w:rPr>
          <w:b/>
          <w:bCs/>
        </w:rPr>
        <w:t xml:space="preserve">453 million of Q2 capex</w:t>
      </w:r>
      <w:r>
        <w:t xml:space="preserve">, or roughly 40%–41% of revenue. Full-year guidance calls for capex equal to 40%–42% of revenue—approximately</w:t>
      </w:r>
      <w:r>
        <w:t xml:space="preserve"> </w:t>
      </w:r>
      <m:oMath>
        <m:r>
          <m:t>1.78</m:t>
        </m:r>
        <m:r>
          <m:t>b</m:t>
        </m:r>
        <m:r>
          <m:t>i</m:t>
        </m:r>
        <m:r>
          <m:t>l</m:t>
        </m:r>
        <m:r>
          <m:t>l</m:t>
        </m:r>
        <m:r>
          <m:t>i</m:t>
        </m:r>
        <m:r>
          <m:t>o</m:t>
        </m:r>
        <m:r>
          <m:t>n</m:t>
        </m:r>
        <m:r>
          <m:rPr>
            <m:sty m:val="p"/>
          </m:rPr>
          <m:t>–</m:t>
        </m:r>
      </m:oMath>
      <w:r>
        <w:rPr>
          <w:b/>
          <w:bCs/>
        </w:rPr>
        <w:t xml:space="preserve">1.91 billion</w:t>
      </w:r>
      <w:r>
        <w:t xml:space="preserve"> </w:t>
      </w:r>
      <w:r>
        <w:t xml:space="preserve">based on the revenue range.</w:t>
      </w:r>
    </w:p>
    <w:p>
      <w:pPr>
        <w:pStyle w:val="BodyText"/>
      </w:pPr>
      <w:r>
        <w:t xml:space="preserve">About</w:t>
      </w:r>
      <w:r>
        <w:t xml:space="preserve"> </w:t>
      </w:r>
      <w:r>
        <w:rPr>
          <w:b/>
          <w:bCs/>
        </w:rPr>
        <w:t xml:space="preserve">$700 million</w:t>
      </w:r>
      <w:r>
        <w:t xml:space="preserve"> </w:t>
      </w:r>
      <w:r>
        <w:t xml:space="preserve">of 2026 spending is tied to the $1.8 billion contract. Management also warned that its GPU pipeline exceeded available and planned inventory and that additional orders—potentially amounting to several hundred million dollars—were not yet included in guidance.</w:t>
      </w:r>
    </w:p>
    <w:p>
      <w:pPr>
        <w:pStyle w:val="BodyText"/>
      </w:pPr>
      <w:r>
        <w:t xml:space="preserve">Since Q1, Akamai has completed a</w:t>
      </w:r>
      <w:r>
        <w:t xml:space="preserve"> </w:t>
      </w:r>
      <w:r>
        <w:rPr>
          <w:b/>
          <w:bCs/>
        </w:rPr>
        <w:t xml:space="preserve">$3.5 billion zero-coupon convertible-note offering</w:t>
      </w:r>
      <w:r>
        <w:t xml:space="preserve">. It used approximately $350 million to repurchase shares and $236.6 million net for convertible hedges, with the remaining proceeds primarily intended to fund accelerated CIS expansion. (</w:t>
      </w:r>
      <w:hyperlink r:id="rId14">
        <w:r>
          <w:rPr>
            <w:rStyle w:val="Hyperlink"/>
          </w:rPr>
          <w:t xml:space="preserve">ir.akamai.com</w:t>
        </w:r>
      </w:hyperlink>
      <w:r>
        <w:t xml:space="preserve">)</w:t>
      </w:r>
    </w:p>
    <w:p>
      <w:pPr>
        <w:pStyle w:val="BodyText"/>
      </w:pPr>
      <w:r>
        <w:t xml:space="preserve">Investors need answers to four questions:</w:t>
      </w:r>
    </w:p>
    <w:p>
      <w:pPr>
        <w:pStyle w:val="Compact"/>
        <w:numPr>
          <w:ilvl w:val="0"/>
          <w:numId w:val="1003"/>
        </w:numPr>
      </w:pPr>
      <w:r>
        <w:t xml:space="preserve">Is the current capex budget still sufficient for signed contracts?</w:t>
      </w:r>
    </w:p>
    <w:p>
      <w:pPr>
        <w:pStyle w:val="Compact"/>
        <w:numPr>
          <w:ilvl w:val="0"/>
          <w:numId w:val="1003"/>
        </w:numPr>
      </w:pPr>
      <w:r>
        <w:t xml:space="preserve">Has Akamai ordered additional GPUs for opportunities beyond the $1.8 billion customer?</w:t>
      </w:r>
    </w:p>
    <w:p>
      <w:pPr>
        <w:pStyle w:val="Compact"/>
        <w:numPr>
          <w:ilvl w:val="0"/>
          <w:numId w:val="1003"/>
        </w:numPr>
      </w:pPr>
      <w:r>
        <w:t xml:space="preserve">What returns and operating margins does management expect from dedicated-capacity deals?</w:t>
      </w:r>
    </w:p>
    <w:p>
      <w:pPr>
        <w:pStyle w:val="Compact"/>
        <w:numPr>
          <w:ilvl w:val="0"/>
          <w:numId w:val="1003"/>
        </w:numPr>
      </w:pPr>
      <w:r>
        <w:t xml:space="preserve">When should elevated investment begin converting into free cash flow?</w:t>
      </w:r>
    </w:p>
    <w:p>
      <w:pPr>
        <w:pStyle w:val="FirstParagraph"/>
      </w:pPr>
      <w:r>
        <w:t xml:space="preserve">Higher capex would not automatically be bearish if backed by long-term, take-or-pay customer commitments. But higher spending based mainly on pipeline—rather than signed contracts—would increase execution risk.</w:t>
      </w:r>
    </w:p>
    <w:bookmarkEnd w:id="15"/>
    <w:bookmarkStart w:id="17" w:name="X2ba615c5e2199b1adb5ae54713dda78ac3c1395"/>
    <w:p>
      <w:pPr>
        <w:pStyle w:val="Heading3"/>
      </w:pPr>
      <w:r>
        <w:t xml:space="preserve">3. Security needs to remain the dependable growth engine</w:t>
      </w:r>
    </w:p>
    <w:p>
      <w:pPr>
        <w:pStyle w:val="FirstParagraph"/>
      </w:pPr>
      <w:r>
        <w:t xml:space="preserve">Security is still Akamai’s largest and most profitable growth business. Q1 security revenue was</w:t>
      </w:r>
      <w:r>
        <w:t xml:space="preserve"> </w:t>
      </w:r>
      <w:r>
        <w:rPr>
          <w:b/>
          <w:bCs/>
        </w:rPr>
        <w:t xml:space="preserve">$590 million</w:t>
      </w:r>
      <w:r>
        <w:t xml:space="preserve">, up 11% as reported and 9% in constant currency. Growth was driven by:</w:t>
      </w:r>
    </w:p>
    <w:p>
      <w:pPr>
        <w:pStyle w:val="Compact"/>
        <w:numPr>
          <w:ilvl w:val="0"/>
          <w:numId w:val="1004"/>
        </w:numPr>
      </w:pPr>
      <w:r>
        <w:t xml:space="preserve">Web application firewall products</w:t>
      </w:r>
    </w:p>
    <w:p>
      <w:pPr>
        <w:pStyle w:val="Compact"/>
        <w:numPr>
          <w:ilvl w:val="0"/>
          <w:numId w:val="1004"/>
        </w:numPr>
      </w:pPr>
      <w:r>
        <w:t xml:space="preserve">API security</w:t>
      </w:r>
    </w:p>
    <w:p>
      <w:pPr>
        <w:pStyle w:val="Compact"/>
        <w:numPr>
          <w:ilvl w:val="0"/>
          <w:numId w:val="1004"/>
        </w:numPr>
      </w:pPr>
      <w:r>
        <w:t xml:space="preserve">Guardicore Segmentation</w:t>
      </w:r>
    </w:p>
    <w:p>
      <w:pPr>
        <w:pStyle w:val="FirstParagraph"/>
      </w:pPr>
      <w:r>
        <w:t xml:space="preserve">Management maintained a</w:t>
      </w:r>
      <w:r>
        <w:t xml:space="preserve"> </w:t>
      </w:r>
      <w:r>
        <w:rPr>
          <w:b/>
          <w:bCs/>
        </w:rPr>
        <w:t xml:space="preserve">high-single-digit constant-currency security growth</w:t>
      </w:r>
      <w:r>
        <w:t xml:space="preserve"> </w:t>
      </w:r>
      <w:r>
        <w:t xml:space="preserve">outlook for 2026. The key question is whether Q1’s strength was sustainable or benefited from contract and license timing.</w:t>
      </w:r>
    </w:p>
    <w:p>
      <w:pPr>
        <w:pStyle w:val="BodyText"/>
      </w:pPr>
      <w:r>
        <w:t xml:space="preserve">AI is potentially a tailwind on both sides of Akamai’s security portfolio: customers need to secure AI applications, while AI-assisted attackers can identify vulnerabilities and scale attacks more rapidly. Akamai has also expanded its Zero Trust portfolio by acquiring LayerX for approximately</w:t>
      </w:r>
      <w:r>
        <w:t xml:space="preserve"> </w:t>
      </w:r>
      <w:r>
        <w:rPr>
          <w:b/>
          <w:bCs/>
        </w:rPr>
        <w:t xml:space="preserve">$205 million</w:t>
      </w:r>
      <w:r>
        <w:t xml:space="preserve">. The transaction closed July 2, after the end of Q2, so its financial effects should begin in Q3 rather than Q2. (</w:t>
      </w:r>
      <w:hyperlink r:id="rId16">
        <w:r>
          <w:rPr>
            <w:rStyle w:val="Hyperlink"/>
          </w:rPr>
          <w:t xml:space="preserve">ir.akamai.com</w:t>
        </w:r>
      </w:hyperlink>
      <w:r>
        <w:t xml:space="preserve">)</w:t>
      </w:r>
    </w:p>
    <w:p>
      <w:pPr>
        <w:pStyle w:val="BodyText"/>
      </w:pPr>
      <w:r>
        <w:rPr>
          <w:b/>
          <w:bCs/>
        </w:rPr>
        <w:t xml:space="preserve">What would be encouraging:</w:t>
      </w:r>
      <w:r>
        <w:t xml:space="preserve"> </w:t>
      </w:r>
      <w:r>
        <w:t xml:space="preserve">Another quarter around high-single- or low-double-digit security growth, continued strength in WAF, and evidence that API security and Guardicore are expanding within large accounts.</w:t>
      </w:r>
    </w:p>
    <w:bookmarkEnd w:id="17"/>
    <w:bookmarkStart w:id="18" w:name="X5df232b813978831960c83edbe888645d5b9bb6"/>
    <w:p>
      <w:pPr>
        <w:pStyle w:val="Heading3"/>
      </w:pPr>
      <w:r>
        <w:t xml:space="preserve">4. Delivery must become a smaller drag</w:t>
      </w:r>
    </w:p>
    <w:p>
      <w:pPr>
        <w:pStyle w:val="FirstParagraph"/>
      </w:pPr>
      <w:r>
        <w:t xml:space="preserve">Delivery and other cloud applications produced</w:t>
      </w:r>
      <w:r>
        <w:t xml:space="preserve"> </w:t>
      </w:r>
      <w:r>
        <w:rPr>
          <w:b/>
          <w:bCs/>
        </w:rPr>
        <w:t xml:space="preserve">$389 million in Q1</w:t>
      </w:r>
      <w:r>
        <w:t xml:space="preserve">, down 7% as reported and 8% in constant currency. The decline reflected:</w:t>
      </w:r>
    </w:p>
    <w:p>
      <w:pPr>
        <w:pStyle w:val="Compact"/>
        <w:numPr>
          <w:ilvl w:val="0"/>
          <w:numId w:val="1005"/>
        </w:numPr>
      </w:pPr>
      <w:r>
        <w:t xml:space="preserve">Renewal pricing pressure</w:t>
      </w:r>
    </w:p>
    <w:p>
      <w:pPr>
        <w:pStyle w:val="Compact"/>
        <w:numPr>
          <w:ilvl w:val="0"/>
          <w:numId w:val="1005"/>
        </w:numPr>
      </w:pPr>
      <w:r>
        <w:t xml:space="preserve">Customer traffic optimization</w:t>
      </w:r>
    </w:p>
    <w:p>
      <w:pPr>
        <w:pStyle w:val="Compact"/>
        <w:numPr>
          <w:ilvl w:val="0"/>
          <w:numId w:val="1005"/>
        </w:numPr>
      </w:pPr>
      <w:r>
        <w:t xml:space="preserve">Macro pressure in media and gaming</w:t>
      </w:r>
    </w:p>
    <w:p>
      <w:pPr>
        <w:pStyle w:val="Compact"/>
        <w:numPr>
          <w:ilvl w:val="0"/>
          <w:numId w:val="1005"/>
        </w:numPr>
      </w:pPr>
      <w:r>
        <w:t xml:space="preserve">The prior-year effect of the Edgio asset transaction</w:t>
      </w:r>
    </w:p>
    <w:p>
      <w:pPr>
        <w:pStyle w:val="FirstParagraph"/>
      </w:pPr>
      <w:r>
        <w:t xml:space="preserve">Management expects a</w:t>
      </w:r>
      <w:r>
        <w:t xml:space="preserve"> </w:t>
      </w:r>
      <w:r>
        <w:rPr>
          <w:b/>
          <w:bCs/>
        </w:rPr>
        <w:t xml:space="preserve">mid-single-digit constant-currency decline</w:t>
      </w:r>
      <w:r>
        <w:t xml:space="preserve"> </w:t>
      </w:r>
      <w:r>
        <w:t xml:space="preserve">for 2026 and has said the rate of decline should moderate during the year.</w:t>
      </w:r>
    </w:p>
    <w:p>
      <w:pPr>
        <w:pStyle w:val="BodyText"/>
      </w:pPr>
      <w:r>
        <w:t xml:space="preserve">Investors do not need delivery to return to growth immediately. They do need the decline to stabilize so that security and cloud growth can flow through to total-company acceleration. A renewed high-single-digit decline would make the 2027 double-digit-growth target more difficult to underwrite.</w:t>
      </w:r>
    </w:p>
    <w:bookmarkEnd w:id="18"/>
    <w:bookmarkStart w:id="19" w:name="X0987e6b5e45ee8ada2a4a72f54c70fdc2c4ec91"/>
    <w:p>
      <w:pPr>
        <w:pStyle w:val="Heading3"/>
      </w:pPr>
      <w:r>
        <w:t xml:space="preserve">5. Q3 and full-year guidance will determine the reaction</w:t>
      </w:r>
    </w:p>
    <w:p>
      <w:pPr>
        <w:pStyle w:val="FirstParagraph"/>
      </w:pPr>
      <w:r>
        <w:t xml:space="preserve">Current full-year guidance is:</w:t>
      </w:r>
    </w:p>
    <w:p>
      <w:pPr>
        <w:pStyle w:val="Compact"/>
        <w:numPr>
          <w:ilvl w:val="0"/>
          <w:numId w:val="1006"/>
        </w:numPr>
      </w:pPr>
      <w:r>
        <w:rPr>
          <w:b/>
          <w:bCs/>
        </w:rPr>
        <w:t xml:space="preserve">Revenue:</w:t>
      </w:r>
      <w:r>
        <w:t xml:space="preserve"> </w:t>
      </w:r>
      <m:oMath>
        <m:r>
          <m:t>4.445</m:t>
        </m:r>
        <m:r>
          <m:t>b</m:t>
        </m:r>
        <m:r>
          <m:t>i</m:t>
        </m:r>
        <m:r>
          <m:t>l</m:t>
        </m:r>
        <m:r>
          <m:t>l</m:t>
        </m:r>
        <m:r>
          <m:t>i</m:t>
        </m:r>
        <m:r>
          <m:t>o</m:t>
        </m:r>
        <m:r>
          <m:t>n</m:t>
        </m:r>
        <m:r>
          <m:rPr>
            <m:sty m:val="p"/>
          </m:rPr>
          <m:t>–</m:t>
        </m:r>
      </m:oMath>
      <w:r>
        <w:t xml:space="preserve">4.550 billion</w:t>
      </w:r>
    </w:p>
    <w:p>
      <w:pPr>
        <w:pStyle w:val="Compact"/>
        <w:numPr>
          <w:ilvl w:val="0"/>
          <w:numId w:val="1006"/>
        </w:numPr>
      </w:pPr>
      <w:r>
        <w:rPr>
          <w:b/>
          <w:bCs/>
        </w:rPr>
        <w:t xml:space="preserve">Non-GAAP operating margin:</w:t>
      </w:r>
      <w:r>
        <w:t xml:space="preserve"> </w:t>
      </w:r>
      <w:r>
        <w:t xml:space="preserve">approximately 26%</w:t>
      </w:r>
    </w:p>
    <w:p>
      <w:pPr>
        <w:pStyle w:val="Compact"/>
        <w:numPr>
          <w:ilvl w:val="0"/>
          <w:numId w:val="1006"/>
        </w:numPr>
      </w:pPr>
      <w:r>
        <w:rPr>
          <w:b/>
          <w:bCs/>
        </w:rPr>
        <w:t xml:space="preserve">Non-GAAP EPS:</w:t>
      </w:r>
      <w:r>
        <w:t xml:space="preserve"> </w:t>
      </w:r>
      <m:oMath>
        <m:r>
          <m:t>6.40</m:t>
        </m:r>
        <m:r>
          <m:rPr>
            <m:sty m:val="p"/>
          </m:rPr>
          <m:t>–</m:t>
        </m:r>
      </m:oMath>
      <w:r>
        <w:t xml:space="preserve">7.15</w:t>
      </w:r>
    </w:p>
    <w:p>
      <w:pPr>
        <w:pStyle w:val="Compact"/>
        <w:numPr>
          <w:ilvl w:val="0"/>
          <w:numId w:val="1006"/>
        </w:numPr>
      </w:pPr>
      <w:r>
        <w:rPr>
          <w:b/>
          <w:bCs/>
        </w:rPr>
        <w:t xml:space="preserve">CIS growth:</w:t>
      </w:r>
      <w:r>
        <w:t xml:space="preserve"> </w:t>
      </w:r>
      <w:r>
        <w:t xml:space="preserve">at least 50% in constant currency</w:t>
      </w:r>
    </w:p>
    <w:p>
      <w:pPr>
        <w:pStyle w:val="Compact"/>
        <w:numPr>
          <w:ilvl w:val="0"/>
          <w:numId w:val="1006"/>
        </w:numPr>
      </w:pPr>
      <w:r>
        <w:rPr>
          <w:b/>
          <w:bCs/>
        </w:rPr>
        <w:t xml:space="preserve">Security growth:</w:t>
      </w:r>
      <w:r>
        <w:t xml:space="preserve"> </w:t>
      </w:r>
      <w:r>
        <w:t xml:space="preserve">high single digits in constant currency</w:t>
      </w:r>
    </w:p>
    <w:p>
      <w:pPr>
        <w:pStyle w:val="Compact"/>
        <w:numPr>
          <w:ilvl w:val="0"/>
          <w:numId w:val="1006"/>
        </w:numPr>
      </w:pPr>
      <w:r>
        <w:rPr>
          <w:b/>
          <w:bCs/>
        </w:rPr>
        <w:t xml:space="preserve">Delivery decline:</w:t>
      </w:r>
      <w:r>
        <w:t xml:space="preserve"> </w:t>
      </w:r>
      <w:r>
        <w:t xml:space="preserve">mid-single digits in constant currency</w:t>
      </w:r>
    </w:p>
    <w:p>
      <w:pPr>
        <w:pStyle w:val="FirstParagraph"/>
      </w:pPr>
      <w:r>
        <w:t xml:space="preserve">At the respective midpoints of Q2 and full-year revenue guidance, Akamai would need approximately</w:t>
      </w:r>
      <w:r>
        <w:t xml:space="preserve"> </w:t>
      </w:r>
      <m:oMath>
        <m:r>
          <m:t>2.34</m:t>
        </m:r>
        <m:r>
          <m:t>b</m:t>
        </m:r>
        <m:r>
          <m:t>i</m:t>
        </m:r>
        <m:r>
          <m:t>l</m:t>
        </m:r>
        <m:r>
          <m:t>l</m:t>
        </m:r>
        <m:r>
          <m:t>i</m:t>
        </m:r>
        <m:r>
          <m:t>o</m:t>
        </m:r>
        <m:r>
          <m:t>n</m:t>
        </m:r>
        <m:r>
          <m:t>o</m:t>
        </m:r>
        <m:r>
          <m:t>f</m:t>
        </m:r>
        <m:r>
          <m:t>s</m:t>
        </m:r>
        <m:r>
          <m:t>e</m:t>
        </m:r>
        <m:r>
          <m:t>c</m:t>
        </m:r>
        <m:r>
          <m:t>o</m:t>
        </m:r>
        <m:r>
          <m:t>n</m:t>
        </m:r>
        <m:r>
          <m:t>d</m:t>
        </m:r>
        <m:r>
          <m:rPr>
            <m:sty m:val="p"/>
          </m:rPr>
          <m:t>−</m:t>
        </m:r>
        <m:r>
          <m:t>h</m:t>
        </m:r>
        <m:r>
          <m:t>a</m:t>
        </m:r>
        <m:r>
          <m:t>l</m:t>
        </m:r>
        <m:r>
          <m:t>f</m:t>
        </m:r>
        <m:r>
          <m:t>r</m:t>
        </m:r>
        <m:r>
          <m:t>e</m:t>
        </m:r>
        <m:r>
          <m:t>v</m:t>
        </m:r>
        <m:r>
          <m:t>e</m:t>
        </m:r>
        <m:r>
          <m:t>n</m:t>
        </m:r>
        <m:r>
          <m:t>u</m:t>
        </m:r>
        <m:r>
          <m:t>e</m:t>
        </m:r>
        <m:r>
          <m:rPr>
            <m:sty m:val="p"/>
          </m:rPr>
          <m:t>*</m:t>
        </m:r>
        <m:r>
          <m:rPr>
            <m:sty m:val="p"/>
          </m:rPr>
          <m:t>*</m:t>
        </m:r>
        <m:r>
          <m:rPr>
            <m:sty m:val="p"/>
          </m:rPr>
          <m:t>,</m:t>
        </m:r>
        <m:r>
          <m:t>o</m:t>
        </m:r>
        <m:r>
          <m:t>r</m:t>
        </m:r>
        <m:r>
          <m:t>a</m:t>
        </m:r>
        <m:r>
          <m:t>n</m:t>
        </m:r>
        <m:r>
          <m:t>a</m:t>
        </m:r>
        <m:r>
          <m:t>v</m:t>
        </m:r>
        <m:r>
          <m:t>e</m:t>
        </m:r>
        <m:r>
          <m:t>r</m:t>
        </m:r>
        <m:r>
          <m:t>a</m:t>
        </m:r>
        <m:r>
          <m:t>g</m:t>
        </m:r>
        <m:r>
          <m:t>e</m:t>
        </m:r>
        <m:r>
          <m:t>o</m:t>
        </m:r>
        <m:r>
          <m:t>f</m:t>
        </m:r>
        <m:r>
          <m:t>a</m:t>
        </m:r>
        <m:r>
          <m:t>b</m:t>
        </m:r>
        <m:r>
          <m:t>o</m:t>
        </m:r>
        <m:r>
          <m:t>u</m:t>
        </m:r>
        <m:r>
          <m:t>t</m:t>
        </m:r>
        <m:r>
          <m:rPr>
            <m:sty m:val="p"/>
          </m:rPr>
          <m:t>*</m:t>
        </m:r>
        <m:r>
          <m:rPr>
            <m:sty m:val="p"/>
          </m:rPr>
          <m:t>*</m:t>
        </m:r>
      </m:oMath>
      <w:r>
        <w:rPr>
          <w:b/>
          <w:bCs/>
        </w:rPr>
        <w:t xml:space="preserve">1.17 billion per quarter</w:t>
      </w:r>
      <w:r>
        <w:t xml:space="preserve">. That is roughly 7% above the Q2 midpoint, meaning the guidance already assumes a meaningful second-half acceleration. (</w:t>
      </w:r>
      <w:hyperlink r:id="rId11">
        <w:r>
          <w:rPr>
            <w:rStyle w:val="Hyperlink"/>
          </w:rPr>
          <w:t xml:space="preserve">ir.akamai.com</w:t>
        </w:r>
      </w:hyperlink>
      <w:r>
        <w:t xml:space="preserve">)</w:t>
      </w:r>
    </w:p>
    <w:p>
      <w:pPr>
        <w:pStyle w:val="BodyText"/>
      </w:pPr>
      <w:r>
        <w:t xml:space="preserve">Q4 should benefit from the initial</w:t>
      </w:r>
      <w:r>
        <w:t xml:space="preserve"> </w:t>
      </w:r>
      <m:oMath>
        <m:r>
          <m:t>20</m:t>
        </m:r>
        <m:r>
          <m:t>m</m:t>
        </m:r>
        <m:r>
          <m:t>i</m:t>
        </m:r>
        <m:r>
          <m:t>l</m:t>
        </m:r>
        <m:r>
          <m:t>l</m:t>
        </m:r>
        <m:r>
          <m:t>i</m:t>
        </m:r>
        <m:r>
          <m:t>o</m:t>
        </m:r>
        <m:r>
          <m:t>n</m:t>
        </m:r>
        <m:r>
          <m:rPr>
            <m:sty m:val="p"/>
          </m:rPr>
          <m:t>–</m:t>
        </m:r>
      </m:oMath>
      <w:r>
        <w:t xml:space="preserve">25 million contribution from the $1.8 billion contract, so Q3 guidance does not necessarily need to reach the second-half average. Nevertheless, a soft Q3 outlook would place greater pressure on Q4 execution.</w:t>
      </w:r>
    </w:p>
    <w:p>
      <w:pPr>
        <w:pStyle w:val="BodyText"/>
      </w:pPr>
      <w:r>
        <w:t xml:space="preserve">The best outcome would be:</w:t>
      </w:r>
    </w:p>
    <w:p>
      <w:pPr>
        <w:pStyle w:val="Compact"/>
        <w:numPr>
          <w:ilvl w:val="0"/>
          <w:numId w:val="1007"/>
        </w:numPr>
      </w:pPr>
      <w:r>
        <w:t xml:space="preserve">Q3 revenue showing clear sequential acceleration.</w:t>
      </w:r>
    </w:p>
    <w:p>
      <w:pPr>
        <w:pStyle w:val="Compact"/>
        <w:numPr>
          <w:ilvl w:val="0"/>
          <w:numId w:val="1007"/>
        </w:numPr>
      </w:pPr>
      <w:r>
        <w:t xml:space="preserve">Full-year revenue and CIS guidance maintained or raised.</w:t>
      </w:r>
    </w:p>
    <w:p>
      <w:pPr>
        <w:pStyle w:val="Compact"/>
        <w:numPr>
          <w:ilvl w:val="0"/>
          <w:numId w:val="1007"/>
        </w:numPr>
      </w:pPr>
      <w:r>
        <w:t xml:space="preserve">No meaningful reduction to EPS despite LayerX and higher infrastructure spending.</w:t>
      </w:r>
    </w:p>
    <w:p>
      <w:pPr>
        <w:pStyle w:val="Compact"/>
        <w:numPr>
          <w:ilvl w:val="0"/>
          <w:numId w:val="1007"/>
        </w:numPr>
      </w:pPr>
      <w:r>
        <w:t xml:space="preserve">Continued confidence in</w:t>
      </w:r>
      <w:r>
        <w:t xml:space="preserve"> </w:t>
      </w:r>
      <w:r>
        <w:rPr>
          <w:b/>
          <w:bCs/>
        </w:rPr>
        <w:t xml:space="preserve">double-digit total-company revenue growth in 2027</w:t>
      </w:r>
      <w:r>
        <w:t xml:space="preserve">.</w:t>
      </w:r>
    </w:p>
    <w:p>
      <w:r>
        <w:pict>
          <v:rect style="width:0;height:1.5pt" o:hralign="center" o:hrstd="t" o:hr="t"/>
        </w:pict>
      </w:r>
    </w:p>
    <w:bookmarkEnd w:id="19"/>
    <w:bookmarkEnd w:id="20"/>
    <w:bookmarkStart w:id="21" w:name="capital-structure-and-earnings-quality"/>
    <w:p>
      <w:pPr>
        <w:pStyle w:val="Heading2"/>
      </w:pPr>
      <w:r>
        <w:t xml:space="preserve">Capital structure and earnings quality</w:t>
      </w:r>
    </w:p>
    <w:p>
      <w:pPr>
        <w:pStyle w:val="FirstParagraph"/>
      </w:pPr>
      <w:r>
        <w:t xml:space="preserve">Akamai entered 2026 with a profitable, cash-generative security and delivery platform. It is now using that base—and substantial new financing—to build an AI cloud business.</w:t>
      </w:r>
    </w:p>
    <w:p>
      <w:pPr>
        <w:pStyle w:val="BodyText"/>
      </w:pPr>
      <w:r>
        <w:t xml:space="preserve">Following the May financing, gross convertible debt has increased materially from the</w:t>
      </w:r>
      <w:r>
        <w:t xml:space="preserve"> </w:t>
      </w:r>
      <w:r>
        <w:rPr>
          <w:b/>
          <w:bCs/>
        </w:rPr>
        <w:t xml:space="preserve">$4.14 billion outstanding at March 31</w:t>
      </w:r>
      <w:r>
        <w:t xml:space="preserve">. The new notes carry no regular interest, and convertible hedges reduce potential dilution within specified price ranges, so the immediate income-statement burden is limited. Nevertheless, the balance-sheet commitment is significant.</w:t>
      </w:r>
    </w:p>
    <w:p>
      <w:pPr>
        <w:pStyle w:val="BodyText"/>
      </w:pPr>
      <w:r>
        <w:t xml:space="preserve">Investors should distinguish between:</w:t>
      </w:r>
    </w:p>
    <w:p>
      <w:pPr>
        <w:pStyle w:val="Compact"/>
        <w:numPr>
          <w:ilvl w:val="0"/>
          <w:numId w:val="1008"/>
        </w:numPr>
      </w:pPr>
      <w:r>
        <w:rPr>
          <w:b/>
          <w:bCs/>
        </w:rPr>
        <w:t xml:space="preserve">Non-GAAP EPS</w:t>
      </w:r>
      <w:r>
        <w:t xml:space="preserve">, which may benefit from share repurchases and excludes substantial stock compensation; and</w:t>
      </w:r>
    </w:p>
    <w:p>
      <w:pPr>
        <w:pStyle w:val="Compact"/>
        <w:numPr>
          <w:ilvl w:val="0"/>
          <w:numId w:val="1008"/>
        </w:numPr>
      </w:pPr>
      <w:r>
        <w:rPr>
          <w:b/>
          <w:bCs/>
        </w:rPr>
        <w:t xml:space="preserve">Free cash flow</w:t>
      </w:r>
      <w:r>
        <w:t xml:space="preserve">, which will be pressured by the infrastructure buildout.</w:t>
      </w:r>
    </w:p>
    <w:p>
      <w:pPr>
        <w:pStyle w:val="FirstParagraph"/>
      </w:pPr>
      <w:r>
        <w:t xml:space="preserve">Q1 stock-based compensation was approximately</w:t>
      </w:r>
      <w:r>
        <w:t xml:space="preserve"> </w:t>
      </w:r>
      <w:r>
        <w:rPr>
          <w:b/>
          <w:bCs/>
        </w:rPr>
        <w:t xml:space="preserve">$129 million</w:t>
      </w:r>
      <w:r>
        <w:t xml:space="preserve">, while capex is heading toward roughly</w:t>
      </w:r>
      <w:r>
        <w:t xml:space="preserve"> </w:t>
      </w:r>
      <m:oMath>
        <m:r>
          <m:t>1.8</m:t>
        </m:r>
        <m:r>
          <m:t>b</m:t>
        </m:r>
        <m:r>
          <m:t>i</m:t>
        </m:r>
        <m:r>
          <m:t>l</m:t>
        </m:r>
        <m:r>
          <m:t>l</m:t>
        </m:r>
        <m:r>
          <m:t>i</m:t>
        </m:r>
        <m:r>
          <m:t>o</m:t>
        </m:r>
        <m:r>
          <m:t>n</m:t>
        </m:r>
        <m:r>
          <m:rPr>
            <m:sty m:val="p"/>
          </m:rPr>
          <m:t>–</m:t>
        </m:r>
      </m:oMath>
      <w:r>
        <w:t xml:space="preserve">1.9 billion for the year. In this phase, revenue growth, backlog and infrastructure utilization are likely more informative than headline adjusted EPS alone.</w:t>
      </w:r>
    </w:p>
    <w:p>
      <w:r>
        <w:pict>
          <v:rect style="width:0;height:1.5pt" o:hralign="center" o:hrstd="t" o:hr="t"/>
        </w:pict>
      </w:r>
    </w:p>
    <w:bookmarkEnd w:id="21"/>
    <w:bookmarkStart w:id="22" w:name="bull-case"/>
    <w:p>
      <w:pPr>
        <w:pStyle w:val="Heading2"/>
      </w:pPr>
      <w:r>
        <w:t xml:space="preserve">Bull case</w:t>
      </w:r>
    </w:p>
    <w:p>
      <w:pPr>
        <w:pStyle w:val="FirstParagraph"/>
      </w:pPr>
      <w:r>
        <w:t xml:space="preserve">A bullish report would contain most of the following:</w:t>
      </w:r>
    </w:p>
    <w:p>
      <w:pPr>
        <w:pStyle w:val="Compact"/>
        <w:numPr>
          <w:ilvl w:val="0"/>
          <w:numId w:val="1009"/>
        </w:numPr>
      </w:pPr>
      <w:r>
        <w:t xml:space="preserve">Revenue toward or above the top of the Q2 range.</w:t>
      </w:r>
    </w:p>
    <w:p>
      <w:pPr>
        <w:pStyle w:val="Compact"/>
        <w:numPr>
          <w:ilvl w:val="0"/>
          <w:numId w:val="1009"/>
        </w:numPr>
      </w:pPr>
      <w:r>
        <w:t xml:space="preserve">CIS growth clearly above Q1’s 40%.</w:t>
      </w:r>
    </w:p>
    <w:p>
      <w:pPr>
        <w:pStyle w:val="Compact"/>
        <w:numPr>
          <w:ilvl w:val="0"/>
          <w:numId w:val="1009"/>
        </w:numPr>
      </w:pPr>
      <w:r>
        <w:t xml:space="preserve">A large increase in RPO associated with the $1.8 billion contract.</w:t>
      </w:r>
    </w:p>
    <w:p>
      <w:pPr>
        <w:pStyle w:val="Compact"/>
        <w:numPr>
          <w:ilvl w:val="0"/>
          <w:numId w:val="1009"/>
        </w:numPr>
      </w:pPr>
      <w:r>
        <w:t xml:space="preserve">Additional signed AI infrastructure commitments.</w:t>
      </w:r>
    </w:p>
    <w:p>
      <w:pPr>
        <w:pStyle w:val="Compact"/>
        <w:numPr>
          <w:ilvl w:val="0"/>
          <w:numId w:val="1009"/>
        </w:numPr>
      </w:pPr>
      <w:r>
        <w:t xml:space="preserve">Security growth remaining around 9%–11%.</w:t>
      </w:r>
    </w:p>
    <w:p>
      <w:pPr>
        <w:pStyle w:val="Compact"/>
        <w:numPr>
          <w:ilvl w:val="0"/>
          <w:numId w:val="1009"/>
        </w:numPr>
      </w:pPr>
      <w:r>
        <w:t xml:space="preserve">Delivery declines moderating.</w:t>
      </w:r>
    </w:p>
    <w:p>
      <w:pPr>
        <w:pStyle w:val="Compact"/>
        <w:numPr>
          <w:ilvl w:val="0"/>
          <w:numId w:val="1009"/>
        </w:numPr>
      </w:pPr>
      <w:r>
        <w:t xml:space="preserve">Q3 guidance that supports a strong second-half ramp.</w:t>
      </w:r>
    </w:p>
    <w:p>
      <w:pPr>
        <w:pStyle w:val="Compact"/>
        <w:numPr>
          <w:ilvl w:val="0"/>
          <w:numId w:val="1009"/>
        </w:numPr>
      </w:pPr>
      <w:r>
        <w:t xml:space="preserve">Full-year revenue or CIS guidance raised.</w:t>
      </w:r>
    </w:p>
    <w:p>
      <w:pPr>
        <w:pStyle w:val="Compact"/>
        <w:numPr>
          <w:ilvl w:val="0"/>
          <w:numId w:val="1009"/>
        </w:numPr>
      </w:pPr>
      <w:r>
        <w:t xml:space="preserve">Incremental capex tied to contracted demand rather than speculative capacity.</w:t>
      </w:r>
    </w:p>
    <w:p>
      <w:pPr>
        <w:pStyle w:val="Compact"/>
        <w:numPr>
          <w:ilvl w:val="0"/>
          <w:numId w:val="1009"/>
        </w:numPr>
      </w:pPr>
      <w:r>
        <w:t xml:space="preserve">Confirmation that the 2027 double-digit growth target is achievable without severe margin deterioration.</w:t>
      </w:r>
    </w:p>
    <w:p>
      <w:pPr>
        <w:pStyle w:val="FirstParagraph"/>
      </w:pPr>
      <w:r>
        <w:t xml:space="preserve">That combination would strengthen the argument that Akamai’s distributed network can become a differentiated inference platform rather than merely a smaller alternative to hyperscalers and GPU-focused neoclouds.</w:t>
      </w:r>
    </w:p>
    <w:bookmarkEnd w:id="22"/>
    <w:bookmarkStart w:id="23" w:name="bear-case"/>
    <w:p>
      <w:pPr>
        <w:pStyle w:val="Heading2"/>
      </w:pPr>
      <w:r>
        <w:t xml:space="preserve">Bear case</w:t>
      </w:r>
    </w:p>
    <w:p>
      <w:pPr>
        <w:pStyle w:val="FirstParagraph"/>
      </w:pPr>
      <w:r>
        <w:t xml:space="preserve">The principal downside risks are:</w:t>
      </w:r>
    </w:p>
    <w:p>
      <w:pPr>
        <w:pStyle w:val="Compact"/>
        <w:numPr>
          <w:ilvl w:val="0"/>
          <w:numId w:val="1010"/>
        </w:numPr>
      </w:pPr>
      <w:r>
        <w:t xml:space="preserve">Limited evidence that the mega-contract is entering RPO.</w:t>
      </w:r>
    </w:p>
    <w:p>
      <w:pPr>
        <w:pStyle w:val="Compact"/>
        <w:numPr>
          <w:ilvl w:val="0"/>
          <w:numId w:val="1010"/>
        </w:numPr>
      </w:pPr>
      <w:r>
        <w:t xml:space="preserve">Delayed deployment or a lower-than-expected Q4 revenue contribution.</w:t>
      </w:r>
    </w:p>
    <w:p>
      <w:pPr>
        <w:pStyle w:val="Compact"/>
        <w:numPr>
          <w:ilvl w:val="0"/>
          <w:numId w:val="1010"/>
        </w:numPr>
      </w:pPr>
      <w:r>
        <w:t xml:space="preserve">CIS growth that fails to accelerate despite heavy investment.</w:t>
      </w:r>
    </w:p>
    <w:p>
      <w:pPr>
        <w:pStyle w:val="Compact"/>
        <w:numPr>
          <w:ilvl w:val="0"/>
          <w:numId w:val="1010"/>
        </w:numPr>
      </w:pPr>
      <w:r>
        <w:t xml:space="preserve">Another capex increase without corresponding customer commitments.</w:t>
      </w:r>
    </w:p>
    <w:p>
      <w:pPr>
        <w:pStyle w:val="Compact"/>
        <w:numPr>
          <w:ilvl w:val="0"/>
          <w:numId w:val="1010"/>
        </w:numPr>
      </w:pPr>
      <w:r>
        <w:t xml:space="preserve">Security growth slowing toward the mid-single digits.</w:t>
      </w:r>
    </w:p>
    <w:p>
      <w:pPr>
        <w:pStyle w:val="Compact"/>
        <w:numPr>
          <w:ilvl w:val="0"/>
          <w:numId w:val="1010"/>
        </w:numPr>
      </w:pPr>
      <w:r>
        <w:t xml:space="preserve">Delivery remaining down high single digits.</w:t>
      </w:r>
    </w:p>
    <w:p>
      <w:pPr>
        <w:pStyle w:val="Compact"/>
        <w:numPr>
          <w:ilvl w:val="0"/>
          <w:numId w:val="1010"/>
        </w:numPr>
      </w:pPr>
      <w:r>
        <w:t xml:space="preserve">A Q3 outlook that forces an aggressive Q4 step-up.</w:t>
      </w:r>
    </w:p>
    <w:p>
      <w:pPr>
        <w:pStyle w:val="Compact"/>
        <w:numPr>
          <w:ilvl w:val="0"/>
          <w:numId w:val="1010"/>
        </w:numPr>
      </w:pPr>
      <w:r>
        <w:t xml:space="preserve">Reduced operating-margin or EPS guidance due to depreciation, colocation costs, LayerX expenses or expanded hiring.</w:t>
      </w:r>
    </w:p>
    <w:p>
      <w:pPr>
        <w:pStyle w:val="Compact"/>
        <w:numPr>
          <w:ilvl w:val="0"/>
          <w:numId w:val="1010"/>
        </w:numPr>
      </w:pPr>
      <w:r>
        <w:t xml:space="preserve">More cautious language around the 2027 growth target.</w:t>
      </w:r>
    </w:p>
    <w:p>
      <w:pPr>
        <w:pStyle w:val="FirstParagraph"/>
      </w:pPr>
      <w:r>
        <w:t xml:space="preserve">The most damaging combination would be</w:t>
      </w:r>
      <w:r>
        <w:t xml:space="preserve"> </w:t>
      </w:r>
      <w:r>
        <w:rPr>
          <w:b/>
          <w:bCs/>
        </w:rPr>
        <w:t xml:space="preserve">higher capex plus delayed revenue</w:t>
      </w:r>
      <w:r>
        <w:t xml:space="preserve">, because it would undermine both near-term cash flow and confidence in the returns on Akamai’s AI buildout.</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AKAM enters Q2 earnings priced at roughly</w:t>
      </w:r>
      <w:r>
        <w:t xml:space="preserve"> </w:t>
      </w:r>
      <w:r>
        <w:rPr>
          <w:b/>
          <w:bCs/>
        </w:rPr>
        <w:t xml:space="preserve">18 times the midpoint of 2026 non-GAAP EPS guidance</w:t>
      </w:r>
      <w:r>
        <w:t xml:space="preserve">. That valuation is not extreme for a company capable of sustaining double-digit growth, but it is less obviously cheap after accounting for the increased debt, extraordinary capital requirements and reliance on a small number of large cloud commitments.</w:t>
      </w:r>
    </w:p>
    <w:p>
      <w:pPr>
        <w:pStyle w:val="BodyText"/>
      </w:pPr>
      <w:r>
        <w:t xml:space="preserve">The report’s hierarchy of importance is:</w:t>
      </w:r>
    </w:p>
    <w:p>
      <w:pPr>
        <w:pStyle w:val="Compact"/>
        <w:numPr>
          <w:ilvl w:val="0"/>
          <w:numId w:val="1011"/>
        </w:numPr>
      </w:pPr>
      <w:r>
        <w:rPr>
          <w:b/>
          <w:bCs/>
        </w:rPr>
        <w:t xml:space="preserve">RPO and deployment progress for the $1.8 billion contract</w:t>
      </w:r>
    </w:p>
    <w:p>
      <w:pPr>
        <w:pStyle w:val="Compact"/>
        <w:numPr>
          <w:ilvl w:val="0"/>
          <w:numId w:val="1011"/>
        </w:numPr>
      </w:pPr>
      <w:r>
        <w:rPr>
          <w:b/>
          <w:bCs/>
        </w:rPr>
        <w:t xml:space="preserve">CIS growth and additional signed demand</w:t>
      </w:r>
    </w:p>
    <w:p>
      <w:pPr>
        <w:pStyle w:val="Compact"/>
        <w:numPr>
          <w:ilvl w:val="0"/>
          <w:numId w:val="1011"/>
        </w:numPr>
      </w:pPr>
      <w:r>
        <w:rPr>
          <w:b/>
          <w:bCs/>
        </w:rPr>
        <w:t xml:space="preserve">Q3 and 2027 revenue trajectory</w:t>
      </w:r>
    </w:p>
    <w:p>
      <w:pPr>
        <w:pStyle w:val="Compact"/>
        <w:numPr>
          <w:ilvl w:val="0"/>
          <w:numId w:val="1011"/>
        </w:numPr>
      </w:pPr>
      <w:r>
        <w:rPr>
          <w:b/>
          <w:bCs/>
        </w:rPr>
        <w:t xml:space="preserve">Capex discipline and expected returns</w:t>
      </w:r>
    </w:p>
    <w:p>
      <w:pPr>
        <w:pStyle w:val="Compact"/>
        <w:numPr>
          <w:ilvl w:val="0"/>
          <w:numId w:val="1011"/>
        </w:numPr>
      </w:pPr>
      <w:r>
        <w:rPr>
          <w:b/>
          <w:bCs/>
        </w:rPr>
        <w:t xml:space="preserve">Security durability</w:t>
      </w:r>
    </w:p>
    <w:p>
      <w:pPr>
        <w:pStyle w:val="Compact"/>
        <w:numPr>
          <w:ilvl w:val="0"/>
          <w:numId w:val="1011"/>
        </w:numPr>
      </w:pPr>
      <w:r>
        <w:rPr>
          <w:b/>
          <w:bCs/>
        </w:rPr>
        <w:t xml:space="preserve">Delivery stabilization</w:t>
      </w:r>
    </w:p>
    <w:p>
      <w:pPr>
        <w:pStyle w:val="Compact"/>
        <w:numPr>
          <w:ilvl w:val="0"/>
          <w:numId w:val="1011"/>
        </w:numPr>
      </w:pPr>
      <w:r>
        <w:rPr>
          <w:b/>
          <w:bCs/>
        </w:rPr>
        <w:t xml:space="preserve">Headline Q2 EPS</w:t>
      </w:r>
    </w:p>
    <w:p>
      <w:pPr>
        <w:pStyle w:val="FirstParagraph"/>
      </w:pPr>
      <w:r>
        <w:t xml:space="preserve">A modest Q2 beat paired with vague contract commentary or weaker guidance would probably disappoint. Conversely, even elevated capex could be received positively if Akamai demonstrates that spending is supported by signed, long-duration commitments and that the company is on a credible path to double-digit growth in 2027.</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www.ir.akamai.com/news-releases/news-release-details/akamai-announces-pricing-upsized-offering-convertible-senior-2" TargetMode="External" /><Relationship Type="http://schemas.openxmlformats.org/officeDocument/2006/relationships/hyperlink" Id="rId16" Target="https://www.ir.akamai.com/news-releases/news-release-details/akamai-completes-acquisition-secure-enterprise-browser-provider" TargetMode="External" /><Relationship Type="http://schemas.openxmlformats.org/officeDocument/2006/relationships/hyperlink" Id="rId11" Target="https://www.ir.akamai.com/news-releases/news-release-details/akamai-reports-first-quarter-2026-financial-results?utm_source=openai" TargetMode="External" /><Relationship Type="http://schemas.openxmlformats.org/officeDocument/2006/relationships/hyperlink" Id="rId9" Target="https://www.ir.akamai.com/news-releases/news-release-details/akamai-technologies-hold-second-quarter-2026-investor-conference?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www.ir.akamai.com/news-releases/news-release-details/akamai-announces-pricing-upsized-offering-convertible-senior-2" TargetMode="External" /><Relationship Type="http://schemas.openxmlformats.org/officeDocument/2006/relationships/hyperlink" Id="rId16" Target="https://www.ir.akamai.com/news-releases/news-release-details/akamai-completes-acquisition-secure-enterprise-browser-provider" TargetMode="External" /><Relationship Type="http://schemas.openxmlformats.org/officeDocument/2006/relationships/hyperlink" Id="rId11" Target="https://www.ir.akamai.com/news-releases/news-release-details/akamai-reports-first-quarter-2026-financial-results?utm_source=openai" TargetMode="External" /><Relationship Type="http://schemas.openxmlformats.org/officeDocument/2006/relationships/hyperlink" Id="rId9" Target="https://www.ir.akamai.com/news-releases/news-release-details/akamai-technologies-hold-second-quarter-2026-investor-conference?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2026-08-06T01:02:34Z</dcterms:created>
  <dcterms:modified xsi:type="dcterms:W3CDTF">2026-08-06T01:02:34Z</dcterms:modified>
</cp:coreProperties>
</file>

<file path=docProps/custom.xml><?xml version="1.0" encoding="utf-8"?>
<Properties xmlns="http://schemas.openxmlformats.org/officeDocument/2006/custom-properties" xmlns:vt="http://schemas.openxmlformats.org/officeDocument/2006/docPropsVTypes"/>
</file>