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50e81f826369dbcffe9051f170a31d4250ea971"/>
    <w:p>
      <w:pPr>
        <w:pStyle w:val="Heading1"/>
      </w:pPr>
      <w:r>
        <w:t xml:space="preserve">Akamai (NASDAQ: AKAM) — 2Q26 Earnings Preview</w:t>
      </w:r>
    </w:p>
    <w:p>
      <w:pPr>
        <w:pStyle w:val="BlockText"/>
      </w:pPr>
      <w:r>
        <w:rPr>
          <w:b/>
          <w:bCs/>
        </w:rPr>
        <w:t xml:space="preserve">Timing correction:</w:t>
      </w:r>
      <w:r>
        <w:t xml:space="preserve"> </w:t>
      </w:r>
      <w:r>
        <w:t xml:space="preserve">Akamai is scheduled to report</w:t>
      </w:r>
      <w:r>
        <w:t xml:space="preserve"> </w:t>
      </w:r>
      <w:r>
        <w:rPr>
          <w:b/>
          <w:bCs/>
        </w:rPr>
        <w:t xml:space="preserve">today, Thursday, August 6, 2026, after the U.S. market close</w:t>
      </w:r>
      <w:r>
        <w:t xml:space="preserve">—not tomorrow. The earnings call is the</w:t>
      </w:r>
      <w:r>
        <w:t xml:space="preserve"> </w:t>
      </w:r>
      <w:r>
        <w:rPr>
          <w:b/>
          <w:bCs/>
        </w:rPr>
        <w:t xml:space="preserve">2026Q2 Earnings Call</w:t>
      </w:r>
      <w:r>
        <w:t xml:space="preserve">.</w:t>
      </w:r>
    </w:p>
    <w:bookmarkStart w:id="9" w:name="X9e7cc36228bca734c40a11c58e7dc27f082dc8e"/>
    <w:p>
      <w:pPr>
        <w:pStyle w:val="Heading2"/>
      </w:pPr>
      <w:r>
        <w:t xml:space="preserve">Investment view: the report is about execution, not the Q2 print alone</w:t>
      </w:r>
    </w:p>
    <w:p>
      <w:pPr>
        <w:pStyle w:val="FirstParagraph"/>
      </w:pPr>
      <w:r>
        <w:t xml:space="preserve">Akamai enters 2Q earnings as a company in transition: its legacy delivery business remains in decline, but security is growing steadily and Cloud Infrastructure Services (“CIS”) has become the central equity story following the company’s landmark</w:t>
      </w:r>
      <w:r>
        <w:t xml:space="preserve"> </w:t>
      </w:r>
      <w:r>
        <w:rPr>
          <w:b/>
          <w:bCs/>
        </w:rPr>
        <w:t xml:space="preserve">$1.8 billion, seven-year</w:t>
      </w:r>
      <w:r>
        <w:t xml:space="preserve"> </w:t>
      </w:r>
      <w:r>
        <w:t xml:space="preserve">AI-infrastructure customer commitment announced in May.</w:t>
      </w:r>
    </w:p>
    <w:p>
      <w:pPr>
        <w:pStyle w:val="BodyText"/>
      </w:pPr>
      <w:r>
        <w:t xml:space="preserve">The most important question is not simply whether Akamai lands within its Q2 revenue and EPS ranges. Rather, investors will be looking for evidence that the company can:</w:t>
      </w:r>
    </w:p>
    <w:p>
      <w:pPr>
        <w:pStyle w:val="Compact"/>
        <w:numPr>
          <w:ilvl w:val="0"/>
          <w:numId w:val="1001"/>
        </w:numPr>
      </w:pPr>
      <w:r>
        <w:rPr>
          <w:b/>
          <w:bCs/>
        </w:rPr>
        <w:t xml:space="preserve">Convert its AI/cloud pipeline into additional contracted demand;</w:t>
      </w:r>
    </w:p>
    <w:p>
      <w:pPr>
        <w:pStyle w:val="Compact"/>
        <w:numPr>
          <w:ilvl w:val="0"/>
          <w:numId w:val="1001"/>
        </w:numPr>
      </w:pPr>
      <w:r>
        <w:rPr>
          <w:b/>
          <w:bCs/>
        </w:rPr>
        <w:t xml:space="preserve">Deploy infrastructure on time and within the planned capital envelope;</w:t>
      </w:r>
    </w:p>
    <w:p>
      <w:pPr>
        <w:pStyle w:val="Compact"/>
        <w:numPr>
          <w:ilvl w:val="0"/>
          <w:numId w:val="1001"/>
        </w:numPr>
      </w:pPr>
      <w:r>
        <w:rPr>
          <w:b/>
          <w:bCs/>
        </w:rPr>
        <w:t xml:space="preserve">Preserve the durability of security growth;</w:t>
      </w:r>
      <w:r>
        <w:t xml:space="preserve"> </w:t>
      </w:r>
      <w:r>
        <w:t xml:space="preserve">and</w:t>
      </w:r>
    </w:p>
    <w:p>
      <w:pPr>
        <w:pStyle w:val="Compact"/>
        <w:numPr>
          <w:ilvl w:val="0"/>
          <w:numId w:val="1001"/>
        </w:numPr>
      </w:pPr>
      <w:r>
        <w:rPr>
          <w:b/>
          <w:bCs/>
        </w:rPr>
        <w:t xml:space="preserve">Show that the large CIS investment cycle can ultimately produce attractive cash returns and margins.</w:t>
      </w:r>
    </w:p>
    <w:p>
      <w:pPr>
        <w:pStyle w:val="FirstParagraph"/>
      </w:pPr>
      <w:r>
        <w:t xml:space="preserve">The stock has given back much of its immediate post-Q1 move: AKAM closed at</w:t>
      </w:r>
      <w:r>
        <w:t xml:space="preserve"> </w:t>
      </w:r>
      <w:r>
        <w:rPr>
          <w:b/>
          <w:bCs/>
        </w:rPr>
        <w:t xml:space="preserve">$122.30 on August 5</w:t>
      </w:r>
      <w:r>
        <w:t xml:space="preserve">, about</w:t>
      </w:r>
      <w:r>
        <w:t xml:space="preserve"> </w:t>
      </w:r>
      <w:r>
        <w:rPr>
          <w:b/>
          <w:bCs/>
        </w:rPr>
        <w:t xml:space="preserve">17% below</w:t>
      </w:r>
      <w:r>
        <w:t xml:space="preserve"> </w:t>
      </w:r>
      <w:r>
        <w:t xml:space="preserve">its May 8 post-earnings close of $147.71, though still about 5% above its May 7 close. That retracement suggests expectations remain elevated around AI infrastructure, but there is also greater investor sensitivity to capital intensity, execution risk, and the timing of revenue realization.</w:t>
      </w:r>
    </w:p>
    <w:p>
      <w:r>
        <w:pict>
          <v:rect style="width:0;height:1.5pt" o:hralign="center" o:hrstd="t" o:hr="t"/>
        </w:pict>
      </w:r>
    </w:p>
    <w:bookmarkEnd w:id="9"/>
    <w:bookmarkStart w:id="10" w:name="what-akamai-guided-for"/>
    <w:p>
      <w:pPr>
        <w:pStyle w:val="Heading2"/>
      </w:pPr>
      <w:r>
        <w:t xml:space="preserve">What Akamai guided for</w:t>
      </w:r>
    </w:p>
    <w:p>
      <w:pPr>
        <w:pStyle w:val="FirstParagraph"/>
      </w:pPr>
      <w:r>
        <w:t xml:space="preserve">For 2Q26, management’s guidance is: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guidance</w:t>
            </w:r>
          </w:p>
        </w:tc>
        <w:tc>
          <w:tcPr/>
          <w:p>
            <w:pPr>
              <w:pStyle w:val="Compact"/>
              <w:jc w:val="right"/>
            </w:pPr>
            <w:r>
              <w:t xml:space="preserve">Midpoint</w:t>
            </w:r>
          </w:p>
        </w:tc>
      </w:tr>
      <w:tr>
        <w:tc>
          <w:tcPr/>
          <w:p>
            <w:pPr>
              <w:pStyle w:val="Compact"/>
            </w:pPr>
            <w:r>
              <w:t xml:space="preserve">Revenue</w:t>
            </w:r>
          </w:p>
        </w:tc>
        <w:tc>
          <w:tcPr/>
          <w:p>
            <w:pPr>
              <w:pStyle w:val="Compact"/>
              <w:jc w:val="right"/>
            </w:pPr>
            <m:oMath>
              <m:r>
                <m:t>1.075</m:t>
              </m:r>
              <m:r>
                <m:t>B</m:t>
              </m:r>
              <m:r>
                <m:rPr>
                  <m:sty m:val="p"/>
                </m:rPr>
                <m:t>–</m:t>
              </m:r>
            </m:oMath>
            <w:r>
              <w:rPr>
                <w:b/>
                <w:bCs/>
              </w:rPr>
              <w:t xml:space="preserve">1.100B</w:t>
            </w:r>
          </w:p>
        </w:tc>
        <w:tc>
          <w:tcPr/>
          <w:p>
            <w:pPr>
              <w:pStyle w:val="Compact"/>
              <w:jc w:val="right"/>
            </w:pPr>
            <w:r>
              <w:rPr>
                <w:b/>
                <w:bCs/>
              </w:rPr>
              <w:t xml:space="preserve">$1.088B</w:t>
            </w:r>
          </w:p>
        </w:tc>
      </w:tr>
      <w:tr>
        <w:tc>
          <w:tcPr/>
          <w:p>
            <w:pPr>
              <w:pStyle w:val="Compact"/>
            </w:pPr>
            <w:r>
              <w:t xml:space="preserve">Non-GAAP operating margin</w:t>
            </w:r>
          </w:p>
        </w:tc>
        <w:tc>
          <w:tcPr/>
          <w:p>
            <w:pPr>
              <w:pStyle w:val="Compact"/>
              <w:jc w:val="right"/>
            </w:pPr>
            <w:r>
              <w:rPr>
                <w:b/>
                <w:bCs/>
              </w:rPr>
              <w:t xml:space="preserve">25%–26%</w:t>
            </w:r>
          </w:p>
        </w:tc>
        <w:tc>
          <w:tcPr/>
          <w:p>
            <w:pPr>
              <w:pStyle w:val="Compact"/>
              <w:jc w:val="right"/>
            </w:pPr>
            <w:r>
              <w:t xml:space="preserve">25.5%</w:t>
            </w:r>
          </w:p>
        </w:tc>
      </w:tr>
      <w:tr>
        <w:tc>
          <w:tcPr/>
          <w:p>
            <w:pPr>
              <w:pStyle w:val="Compact"/>
            </w:pPr>
            <w:r>
              <w:t xml:space="preserve">Non-GAAP EPS</w:t>
            </w:r>
          </w:p>
        </w:tc>
        <w:tc>
          <w:tcPr/>
          <w:p>
            <w:pPr>
              <w:pStyle w:val="Compact"/>
              <w:jc w:val="right"/>
            </w:pPr>
            <m:oMath>
              <m:r>
                <m:t>1.45</m:t>
              </m:r>
              <m:r>
                <m:rPr>
                  <m:sty m:val="p"/>
                </m:rPr>
                <m:t>–</m:t>
              </m:r>
            </m:oMath>
            <w:r>
              <w:rPr>
                <w:b/>
                <w:bCs/>
              </w:rPr>
              <w:t xml:space="preserve">1.65</w:t>
            </w:r>
          </w:p>
        </w:tc>
        <w:tc>
          <w:tcPr/>
          <w:p>
            <w:pPr>
              <w:pStyle w:val="Compact"/>
              <w:jc w:val="right"/>
            </w:pPr>
            <w:r>
              <w:rPr>
                <w:b/>
                <w:bCs/>
              </w:rPr>
              <w:t xml:space="preserve">$1.55</w:t>
            </w:r>
          </w:p>
        </w:tc>
      </w:tr>
      <w:tr>
        <w:tc>
          <w:tcPr/>
          <w:p>
            <w:pPr>
              <w:pStyle w:val="Compact"/>
            </w:pPr>
            <w:r>
              <w:t xml:space="preserve">Capex</w:t>
            </w:r>
          </w:p>
        </w:tc>
        <w:tc>
          <w:tcPr/>
          <w:p>
            <w:pPr>
              <w:pStyle w:val="Compact"/>
              <w:jc w:val="right"/>
            </w:pPr>
            <m:oMath>
              <m:r>
                <m:t>433</m:t>
              </m:r>
              <m:r>
                <m:t>M</m:t>
              </m:r>
              <m:r>
                <m:rPr>
                  <m:sty m:val="p"/>
                </m:rPr>
                <m:t>–</m:t>
              </m:r>
            </m:oMath>
            <w:r>
              <w:rPr>
                <w:b/>
                <w:bCs/>
              </w:rPr>
              <w:t xml:space="preserve">453M</w:t>
            </w:r>
          </w:p>
        </w:tc>
        <w:tc>
          <w:tcPr/>
          <w:p>
            <w:pPr>
              <w:pStyle w:val="Compact"/>
              <w:jc w:val="right"/>
            </w:pPr>
            <w:r>
              <w:t xml:space="preserve">~$443M</w:t>
            </w:r>
          </w:p>
        </w:tc>
      </w:tr>
      <w:tr>
        <w:tc>
          <w:tcPr/>
          <w:p>
            <w:pPr>
              <w:pStyle w:val="Compact"/>
            </w:pPr>
            <w:r>
              <w:t xml:space="preserve">Cash gross margin</w:t>
            </w:r>
          </w:p>
        </w:tc>
        <w:tc>
          <w:tcPr/>
          <w:p>
            <w:pPr>
              <w:pStyle w:val="Compact"/>
              <w:jc w:val="right"/>
            </w:pPr>
            <w:r>
              <w:rPr>
                <w:b/>
                <w:bCs/>
              </w:rPr>
              <w:t xml:space="preserve">70%–71%</w:t>
            </w:r>
          </w:p>
        </w:tc>
        <w:tc>
          <w:tcPr/>
          <w:p>
            <w:pPr>
              <w:pStyle w:val="Compact"/>
              <w:jc w:val="right"/>
            </w:pPr>
            <w:r>
              <w:t xml:space="preserve">70.5%</w:t>
            </w:r>
          </w:p>
        </w:tc>
      </w:tr>
      <w:tr>
        <w:tc>
          <w:tcPr/>
          <w:p>
            <w:pPr>
              <w:pStyle w:val="Compact"/>
            </w:pPr>
            <w:r>
              <w:t xml:space="preserve">Adjusted EBITDA margin</w:t>
            </w:r>
          </w:p>
        </w:tc>
        <w:tc>
          <w:tcPr/>
          <w:p>
            <w:pPr>
              <w:pStyle w:val="Compact"/>
              <w:jc w:val="right"/>
            </w:pPr>
            <w:r>
              <w:rPr>
                <w:b/>
                <w:bCs/>
              </w:rPr>
              <w:t xml:space="preserve">38%–39%</w:t>
            </w:r>
          </w:p>
        </w:tc>
        <w:tc>
          <w:tcPr/>
          <w:p>
            <w:pPr>
              <w:pStyle w:val="Compact"/>
              <w:jc w:val="right"/>
            </w:pPr>
            <w:r>
              <w:t xml:space="preserve">38.5%</w:t>
            </w:r>
          </w:p>
        </w:tc>
      </w:tr>
    </w:tbl>
    <w:p>
      <w:pPr>
        <w:pStyle w:val="BodyText"/>
      </w:pPr>
      <w:r>
        <w:t xml:space="preserve">The revenue and EPS midpoints are approximately</w:t>
      </w:r>
      <w:r>
        <w:t xml:space="preserve"> </w:t>
      </w:r>
      <m:oMath>
        <m:r>
          <m:t>1.088</m:t>
        </m:r>
        <m:r>
          <m:t>b</m:t>
        </m:r>
        <m:r>
          <m:t>i</m:t>
        </m:r>
        <m:r>
          <m:t>l</m:t>
        </m:r>
        <m:r>
          <m:t>l</m:t>
        </m:r>
        <m:r>
          <m:t>i</m:t>
        </m:r>
        <m:r>
          <m:t>o</m:t>
        </m:r>
        <m:r>
          <m:t>n</m:t>
        </m:r>
        <m:r>
          <m:rPr>
            <m:sty m:val="p"/>
          </m:rPr>
          <m:t>*</m:t>
        </m:r>
        <m:r>
          <m:rPr>
            <m:sty m:val="p"/>
          </m:rPr>
          <m:t>*</m:t>
        </m:r>
        <m:r>
          <m:t>a</m:t>
        </m:r>
        <m:r>
          <m:t>n</m:t>
        </m:r>
        <m:r>
          <m:t>d</m:t>
        </m:r>
        <m:r>
          <m:rPr>
            <m:sty m:val="p"/>
          </m:rPr>
          <m:t>*</m:t>
        </m:r>
        <m:r>
          <m:rPr>
            <m:sty m:val="p"/>
          </m:rPr>
          <m:t>*</m:t>
        </m:r>
      </m:oMath>
      <w:r>
        <w:rPr>
          <w:b/>
          <w:bCs/>
        </w:rPr>
        <w:t xml:space="preserve">1.55</w:t>
      </w:r>
      <w:r>
        <w:t xml:space="preserve">, respectively.</w:t>
      </w:r>
    </w:p>
    <w:p>
      <w:pPr>
        <w:pStyle w:val="BodyText"/>
      </w:pPr>
      <w:r>
        <w:t xml:space="preserve">Importantly, this guide already anticipated a step-up in spending: management said Q2 capex would jump as it began taking delivery of NVIDIA GPU infrastructure, caught up on capex deferred from Q1, and expanded co-location capacity and go-to-market resources.</w:t>
      </w:r>
    </w:p>
    <w:p>
      <w:r>
        <w:pict>
          <v:rect style="width:0;height:1.5pt" o:hralign="center" o:hrstd="t" o:hr="t"/>
        </w:pict>
      </w:r>
    </w:p>
    <w:bookmarkEnd w:id="10"/>
    <w:bookmarkStart w:id="13" w:name="X8ca6d4111da982fe40203bdd6d45c8a3429be62"/>
    <w:p>
      <w:pPr>
        <w:pStyle w:val="Heading2"/>
      </w:pPr>
      <w:r>
        <w:t xml:space="preserve">The core debate: CIS growth versus investment intensity</w:t>
      </w:r>
    </w:p>
    <w:bookmarkStart w:id="11" w:name="why-investors-are-constructive"/>
    <w:p>
      <w:pPr>
        <w:pStyle w:val="Heading3"/>
      </w:pPr>
      <w:r>
        <w:t xml:space="preserve">Why investors are constructive</w:t>
      </w:r>
    </w:p>
    <w:p>
      <w:pPr>
        <w:pStyle w:val="FirstParagraph"/>
      </w:pPr>
      <w:r>
        <w:t xml:space="preserve">Akamai’s Q1 result reframed the story around cloud infrastructure:</w:t>
      </w:r>
    </w:p>
    <w:p>
      <w:pPr>
        <w:pStyle w:val="Compact"/>
        <w:numPr>
          <w:ilvl w:val="0"/>
          <w:numId w:val="1002"/>
        </w:numPr>
      </w:pPr>
      <w:r>
        <w:rPr>
          <w:b/>
          <w:bCs/>
        </w:rPr>
        <w:t xml:space="preserve">CIS revenue was $95 million in Q1</w:t>
      </w:r>
      <w:r>
        <w:t xml:space="preserve">, up</w:t>
      </w:r>
      <w:r>
        <w:t xml:space="preserve"> </w:t>
      </w:r>
      <w:r>
        <w:rPr>
          <w:b/>
          <w:bCs/>
        </w:rPr>
        <w:t xml:space="preserve">40% year over year</w:t>
      </w:r>
      <w:r>
        <w:t xml:space="preserve">.</w:t>
      </w:r>
    </w:p>
    <w:p>
      <w:pPr>
        <w:pStyle w:val="Compact"/>
        <w:numPr>
          <w:ilvl w:val="0"/>
          <w:numId w:val="1002"/>
        </w:numPr>
      </w:pPr>
      <w:r>
        <w:t xml:space="preserve">Management raised its full-year CIS outlook to</w:t>
      </w:r>
      <w:r>
        <w:t xml:space="preserve"> </w:t>
      </w:r>
      <w:r>
        <w:rPr>
          <w:b/>
          <w:bCs/>
        </w:rPr>
        <w:t xml:space="preserve">at least 50% constant-currency growth</w:t>
      </w:r>
      <w:r>
        <w:t xml:space="preserve">.</w:t>
      </w:r>
    </w:p>
    <w:p>
      <w:pPr>
        <w:pStyle w:val="Compact"/>
        <w:numPr>
          <w:ilvl w:val="0"/>
          <w:numId w:val="1002"/>
        </w:numPr>
      </w:pPr>
      <w:r>
        <w:t xml:space="preserve">The company expects the</w:t>
      </w:r>
      <w:r>
        <w:t xml:space="preserve"> </w:t>
      </w:r>
      <m:oMath>
        <m:r>
          <m:t>1.8</m:t>
        </m:r>
        <m:r>
          <m:t>b</m:t>
        </m:r>
        <m:r>
          <m:t>i</m:t>
        </m:r>
        <m:r>
          <m:t>l</m:t>
        </m:r>
        <m:r>
          <m:t>l</m:t>
        </m:r>
        <m:r>
          <m:t>i</m:t>
        </m:r>
        <m:r>
          <m:t>o</m:t>
        </m:r>
        <m:r>
          <m:t>n</m:t>
        </m:r>
        <m:r>
          <m:t>c</m:t>
        </m:r>
        <m:r>
          <m:t>u</m:t>
        </m:r>
        <m:r>
          <m:t>s</m:t>
        </m:r>
        <m:r>
          <m:t>t</m:t>
        </m:r>
        <m:r>
          <m:t>o</m:t>
        </m:r>
        <m:r>
          <m:t>m</m:t>
        </m:r>
        <m:r>
          <m:t>e</m:t>
        </m:r>
        <m:r>
          <m:t>r</m:t>
        </m:r>
        <m:r>
          <m:t>c</m:t>
        </m:r>
        <m:r>
          <m:t>o</m:t>
        </m:r>
        <m:r>
          <m:t>m</m:t>
        </m:r>
        <m:r>
          <m:t>m</m:t>
        </m:r>
        <m:r>
          <m:t>i</m:t>
        </m:r>
        <m:r>
          <m:t>t</m:t>
        </m:r>
        <m:r>
          <m:t>m</m:t>
        </m:r>
        <m:r>
          <m:t>e</m:t>
        </m:r>
        <m:r>
          <m:t>n</m:t>
        </m:r>
        <m:r>
          <m:t>t</m:t>
        </m:r>
        <m:r>
          <m:t>t</m:t>
        </m:r>
        <m:r>
          <m:t>o</m:t>
        </m:r>
        <m:r>
          <m:t>b</m:t>
        </m:r>
        <m:r>
          <m:t>e</m:t>
        </m:r>
        <m:r>
          <m:t>g</m:t>
        </m:r>
        <m:r>
          <m:t>i</m:t>
        </m:r>
        <m:r>
          <m:t>n</m:t>
        </m:r>
        <m:r>
          <m:t>c</m:t>
        </m:r>
        <m:r>
          <m:t>o</m:t>
        </m:r>
        <m:r>
          <m:t>n</m:t>
        </m:r>
        <m:r>
          <m:t>t</m:t>
        </m:r>
        <m:r>
          <m:t>r</m:t>
        </m:r>
        <m:r>
          <m:t>i</m:t>
        </m:r>
        <m:r>
          <m:t>b</m:t>
        </m:r>
        <m:r>
          <m:t>u</m:t>
        </m:r>
        <m:r>
          <m:t>t</m:t>
        </m:r>
        <m:r>
          <m:t>i</m:t>
        </m:r>
        <m:r>
          <m:t>n</m:t>
        </m:r>
        <m:r>
          <m:t>g</m:t>
        </m:r>
        <m:r>
          <m:t>r</m:t>
        </m:r>
        <m:r>
          <m:t>e</m:t>
        </m:r>
        <m:r>
          <m:t>v</m:t>
        </m:r>
        <m:r>
          <m:t>e</m:t>
        </m:r>
        <m:r>
          <m:t>n</m:t>
        </m:r>
        <m:r>
          <m:t>u</m:t>
        </m:r>
        <m:r>
          <m:t>e</m:t>
        </m:r>
        <m:r>
          <m:t>i</m:t>
        </m:r>
        <m:r>
          <m:t>n</m:t>
        </m:r>
        <m:r>
          <m:rPr>
            <m:sty m:val="p"/>
          </m:rPr>
          <m:t>*</m:t>
        </m:r>
        <m:r>
          <m:rPr>
            <m:sty m:val="p"/>
          </m:rPr>
          <m:t>*</m:t>
        </m:r>
        <m:r>
          <m:t>4</m:t>
        </m:r>
        <m:r>
          <m:t>Q</m:t>
        </m:r>
        <m:r>
          <m:t>26</m:t>
        </m:r>
        <m:r>
          <m:rPr>
            <m:sty m:val="p"/>
          </m:rPr>
          <m:t>*</m:t>
        </m:r>
        <m:r>
          <m:rPr>
            <m:sty m:val="p"/>
          </m:rPr>
          <m:t>*</m:t>
        </m:r>
        <m:r>
          <m:rPr>
            <m:sty m:val="p"/>
          </m:rPr>
          <m:t>,</m:t>
        </m:r>
        <m:r>
          <m:t>w</m:t>
        </m:r>
        <m:r>
          <m:t>i</m:t>
        </m:r>
        <m:r>
          <m:t>t</m:t>
        </m:r>
        <m:r>
          <m:t>h</m:t>
        </m:r>
        <m:r>
          <m:t>r</m:t>
        </m:r>
        <m:r>
          <m:t>o</m:t>
        </m:r>
        <m:r>
          <m:t>u</m:t>
        </m:r>
        <m:r>
          <m:t>g</m:t>
        </m:r>
        <m:r>
          <m:t>h</m:t>
        </m:r>
        <m:r>
          <m:t>l</m:t>
        </m:r>
        <m:r>
          <m:t>y</m:t>
        </m:r>
        <m:r>
          <m:rPr>
            <m:sty m:val="p"/>
          </m:rPr>
          <m:t>*</m:t>
        </m:r>
        <m:r>
          <m:rPr>
            <m:sty m:val="p"/>
          </m:rPr>
          <m:t>*</m:t>
        </m:r>
      </m:oMath>
      <w:r>
        <w:t xml:space="preserve">20 million–$25 million** expected in that quarter.</w:t>
      </w:r>
    </w:p>
    <w:p>
      <w:pPr>
        <w:pStyle w:val="Compact"/>
        <w:numPr>
          <w:ilvl w:val="0"/>
          <w:numId w:val="1002"/>
        </w:numPr>
      </w:pPr>
      <w:r>
        <w:t xml:space="preserve">The deal is structured as committed capacity, making eventual revenue more subscription-like than purely usage-dependent.</w:t>
      </w:r>
    </w:p>
    <w:p>
      <w:pPr>
        <w:pStyle w:val="Compact"/>
        <w:numPr>
          <w:ilvl w:val="0"/>
          <w:numId w:val="1002"/>
        </w:numPr>
      </w:pPr>
      <w:r>
        <w:t xml:space="preserve">Management has indicated the AI-specific pipeline exceeds current and planned inventory, implying demand could support further GPU purchases.</w:t>
      </w:r>
    </w:p>
    <w:p>
      <w:pPr>
        <w:pStyle w:val="FirstParagraph"/>
      </w:pPr>
      <w:r>
        <w:t xml:space="preserve">This quarter should provide the first meaningful operational update since that announcement. Investors will want evidence that Akamai is moving from an aspirational AI-inference narrative to a repeatable infrastructure-sales and deployment model.</w:t>
      </w:r>
    </w:p>
    <w:bookmarkEnd w:id="11"/>
    <w:bookmarkStart w:id="12" w:name="why-investors-remain-cautious"/>
    <w:p>
      <w:pPr>
        <w:pStyle w:val="Heading3"/>
      </w:pPr>
      <w:r>
        <w:t xml:space="preserve">Why investors remain cautious</w:t>
      </w:r>
    </w:p>
    <w:p>
      <w:pPr>
        <w:pStyle w:val="FirstParagraph"/>
      </w:pPr>
      <w:r>
        <w:t xml:space="preserve">The same strategy is materially changing Akamai’s financial profile:</w:t>
      </w:r>
    </w:p>
    <w:p>
      <w:pPr>
        <w:pStyle w:val="Compact"/>
        <w:numPr>
          <w:ilvl w:val="0"/>
          <w:numId w:val="1003"/>
        </w:numPr>
      </w:pPr>
      <w:r>
        <w:t xml:space="preserve">Full-year 2026 capex was guided to roughly</w:t>
      </w:r>
      <w:r>
        <w:t xml:space="preserve"> </w:t>
      </w:r>
      <w:r>
        <w:rPr>
          <w:b/>
          <w:bCs/>
        </w:rPr>
        <w:t xml:space="preserve">40%–42% of revenue</w:t>
      </w:r>
      <w:r>
        <w:t xml:space="preserve">.</w:t>
      </w:r>
    </w:p>
    <w:p>
      <w:pPr>
        <w:pStyle w:val="Compact"/>
        <w:numPr>
          <w:ilvl w:val="0"/>
          <w:numId w:val="1003"/>
        </w:numPr>
      </w:pPr>
      <w:r>
        <w:t xml:space="preserve">The large CIS commitment was expected to require approximately</w:t>
      </w:r>
      <w:r>
        <w:t xml:space="preserve"> </w:t>
      </w:r>
      <m:oMath>
        <m:r>
          <m:t>800</m:t>
        </m:r>
        <m:r>
          <m:t>m</m:t>
        </m:r>
        <m:r>
          <m:t>i</m:t>
        </m:r>
        <m:r>
          <m:t>l</m:t>
        </m:r>
        <m:r>
          <m:t>l</m:t>
        </m:r>
        <m:r>
          <m:t>i</m:t>
        </m:r>
        <m:r>
          <m:t>o</m:t>
        </m:r>
        <m:r>
          <m:t>n</m:t>
        </m:r>
        <m:r>
          <m:rPr>
            <m:sty m:val="p"/>
          </m:rPr>
          <m:t>–</m:t>
        </m:r>
      </m:oMath>
      <w:r>
        <w:rPr>
          <w:b/>
          <w:bCs/>
        </w:rPr>
        <w:t xml:space="preserve">825 million</w:t>
      </w:r>
      <w:r>
        <w:t xml:space="preserve"> </w:t>
      </w:r>
      <w:r>
        <w:t xml:space="preserve">of capex over the following 12 months, with about</w:t>
      </w:r>
      <w:r>
        <w:t xml:space="preserve"> </w:t>
      </w:r>
      <w:r>
        <w:rPr>
          <w:b/>
          <w:bCs/>
        </w:rPr>
        <w:t xml:space="preserve">$700 million</w:t>
      </w:r>
      <w:r>
        <w:t xml:space="preserve"> </w:t>
      </w:r>
      <w:r>
        <w:t xml:space="preserve">concentrated in the second half of 2026.</w:t>
      </w:r>
    </w:p>
    <w:p>
      <w:pPr>
        <w:pStyle w:val="Compact"/>
        <w:numPr>
          <w:ilvl w:val="0"/>
          <w:numId w:val="1003"/>
        </w:numPr>
      </w:pPr>
      <w:r>
        <w:t xml:space="preserve">Management has explicitly accepted near-term margin pressure to build capacity ahead of revenue.</w:t>
      </w:r>
    </w:p>
    <w:p>
      <w:pPr>
        <w:pStyle w:val="Compact"/>
        <w:numPr>
          <w:ilvl w:val="0"/>
          <w:numId w:val="1003"/>
        </w:numPr>
      </w:pPr>
      <w:r>
        <w:t xml:space="preserve">The largest deal’s material revenue contribution does not begin until Q4, while much of the spending begins now.</w:t>
      </w:r>
    </w:p>
    <w:p>
      <w:pPr>
        <w:pStyle w:val="FirstParagraph"/>
      </w:pPr>
      <w:r>
        <w:t xml:space="preserve">Therefore, a simple Q2 beat may not be enough if management signals higher capex, weaker cash conversion, delayed deployments, adverse component pricing, or a lower-margin mix than investors expect.</w:t>
      </w:r>
    </w:p>
    <w:p>
      <w:r>
        <w:pict>
          <v:rect style="width:0;height:1.5pt" o:hralign="center" o:hrstd="t" o:hr="t"/>
        </w:pict>
      </w:r>
    </w:p>
    <w:bookmarkEnd w:id="12"/>
    <w:bookmarkEnd w:id="13"/>
    <w:bookmarkStart w:id="17" w:name="the-three-operating-segments-to-watch"/>
    <w:p>
      <w:pPr>
        <w:pStyle w:val="Heading2"/>
      </w:pPr>
      <w:r>
        <w:t xml:space="preserve">The three operating segments to watch</w:t>
      </w:r>
    </w:p>
    <w:bookmarkStart w:id="14" w:name="Xc818c444cd8689945c3c885efcf91db102201a5"/>
    <w:p>
      <w:pPr>
        <w:pStyle w:val="Heading3"/>
      </w:pPr>
      <w:r>
        <w:t xml:space="preserve">1. Cloud Infrastructure Services: the upside driver</w:t>
      </w:r>
    </w:p>
    <w:p>
      <w:pPr>
        <w:pStyle w:val="FirstParagraph"/>
      </w:pPr>
      <w:r>
        <w:rPr>
          <w:b/>
          <w:bCs/>
        </w:rPr>
        <w:t xml:space="preserve">What matters most:</w:t>
      </w:r>
    </w:p>
    <w:p>
      <w:pPr>
        <w:pStyle w:val="Compact"/>
        <w:numPr>
          <w:ilvl w:val="0"/>
          <w:numId w:val="1004"/>
        </w:numPr>
      </w:pPr>
      <w:r>
        <w:t xml:space="preserve">CIS revenue growth and sequential momentum;</w:t>
      </w:r>
    </w:p>
    <w:p>
      <w:pPr>
        <w:pStyle w:val="Compact"/>
        <w:numPr>
          <w:ilvl w:val="0"/>
          <w:numId w:val="1004"/>
        </w:numPr>
      </w:pPr>
      <w:r>
        <w:t xml:space="preserve">Pipeline conversion, especially additional large dedicated-capacity commitments;</w:t>
      </w:r>
    </w:p>
    <w:p>
      <w:pPr>
        <w:pStyle w:val="Compact"/>
        <w:numPr>
          <w:ilvl w:val="0"/>
          <w:numId w:val="1004"/>
        </w:numPr>
      </w:pPr>
      <w:r>
        <w:t xml:space="preserve">GPU availability, pricing, power, and co-location capacity;</w:t>
      </w:r>
    </w:p>
    <w:p>
      <w:pPr>
        <w:pStyle w:val="Compact"/>
        <w:numPr>
          <w:ilvl w:val="0"/>
          <w:numId w:val="1004"/>
        </w:numPr>
      </w:pPr>
      <w:r>
        <w:t xml:space="preserve">Timing of deployment for the $1.8 billion commitment;</w:t>
      </w:r>
    </w:p>
    <w:p>
      <w:pPr>
        <w:pStyle w:val="Compact"/>
        <w:numPr>
          <w:ilvl w:val="0"/>
          <w:numId w:val="1004"/>
        </w:numPr>
      </w:pPr>
      <w:r>
        <w:t xml:space="preserve">Commentary on customer concentration and contract economics;</w:t>
      </w:r>
    </w:p>
    <w:p>
      <w:pPr>
        <w:pStyle w:val="Compact"/>
        <w:numPr>
          <w:ilvl w:val="0"/>
          <w:numId w:val="1004"/>
        </w:numPr>
      </w:pPr>
      <w:r>
        <w:t xml:space="preserve">Whether management increases capex again to support incremental demand.</w:t>
      </w:r>
    </w:p>
    <w:p>
      <w:pPr>
        <w:pStyle w:val="FirstParagraph"/>
      </w:pPr>
      <w:r>
        <w:t xml:space="preserve">Akamai has positioned its distributed network as differentiated for low-latency AI inference, with compute capacity closer to users and data. The bull case is that this architecture can win workloads from hyperscalers and “neocloud” providers where latency, distributed inference, and integrated security matter.</w:t>
      </w:r>
    </w:p>
    <w:p>
      <w:pPr>
        <w:pStyle w:val="BodyText"/>
      </w:pPr>
      <w:r>
        <w:t xml:space="preserve">The key risk is that a large commitment proves less repeatable than investors hope, or that incremental wins require increasingly aggressive pricing and capital spending.</w:t>
      </w:r>
    </w:p>
    <w:bookmarkEnd w:id="14"/>
    <w:bookmarkStart w:id="15" w:name="X072b8844532b075b10aba11e22b6fcddbe7ab0f"/>
    <w:p>
      <w:pPr>
        <w:pStyle w:val="Heading3"/>
      </w:pPr>
      <w:r>
        <w:t xml:space="preserve">2. Security: the earnings-quality anchor</w:t>
      </w:r>
    </w:p>
    <w:p>
      <w:pPr>
        <w:pStyle w:val="FirstParagraph"/>
      </w:pPr>
      <w:r>
        <w:t xml:space="preserve">Security remains Akamai’s largest business and provides much of the company’s existing earnings power.</w:t>
      </w:r>
    </w:p>
    <w:p>
      <w:pPr>
        <w:pStyle w:val="BodyText"/>
      </w:pPr>
      <w:r>
        <w:t xml:space="preserve">In Q1, security revenue was</w:t>
      </w:r>
      <w:r>
        <w:t xml:space="preserve"> </w:t>
      </w:r>
      <w:r>
        <w:rPr>
          <w:b/>
          <w:bCs/>
        </w:rPr>
        <w:t xml:space="preserve">$590 million</w:t>
      </w:r>
      <w:r>
        <w:t xml:space="preserve">, up</w:t>
      </w:r>
      <w:r>
        <w:t xml:space="preserve"> </w:t>
      </w:r>
      <w:r>
        <w:rPr>
          <w:b/>
          <w:bCs/>
        </w:rPr>
        <w:t xml:space="preserve">11% year over year</w:t>
      </w:r>
      <w:r>
        <w:t xml:space="preserve"> </w:t>
      </w:r>
      <w:r>
        <w:t xml:space="preserve">reported, driven by web application firewall, API security, and Guardicore Segmentation. Management’s full-year outlook called for</w:t>
      </w:r>
      <w:r>
        <w:t xml:space="preserve"> </w:t>
      </w:r>
      <w:r>
        <w:rPr>
          <w:b/>
          <w:bCs/>
        </w:rPr>
        <w:t xml:space="preserve">high-single-digit constant-currency security growth</w:t>
      </w:r>
      <w:r>
        <w:t xml:space="preserve">.</w:t>
      </w:r>
    </w:p>
    <w:p>
      <w:pPr>
        <w:pStyle w:val="BodyText"/>
      </w:pPr>
      <w:r>
        <w:t xml:space="preserve">For Q2, investors should focus on:</w:t>
      </w:r>
    </w:p>
    <w:p>
      <w:pPr>
        <w:pStyle w:val="Compact"/>
        <w:numPr>
          <w:ilvl w:val="0"/>
          <w:numId w:val="1005"/>
        </w:numPr>
      </w:pPr>
      <w:r>
        <w:t xml:space="preserve">Whether security growth remains near or above the Q1 pace;</w:t>
      </w:r>
    </w:p>
    <w:p>
      <w:pPr>
        <w:pStyle w:val="Compact"/>
        <w:numPr>
          <w:ilvl w:val="0"/>
          <w:numId w:val="1005"/>
        </w:numPr>
      </w:pPr>
      <w:r>
        <w:t xml:space="preserve">Growth in API security and Guardicore;</w:t>
      </w:r>
    </w:p>
    <w:p>
      <w:pPr>
        <w:pStyle w:val="Compact"/>
        <w:numPr>
          <w:ilvl w:val="0"/>
          <w:numId w:val="1005"/>
        </w:numPr>
      </w:pPr>
      <w:r>
        <w:t xml:space="preserve">WAF demand and the sustainability of the AI-security narrative;</w:t>
      </w:r>
    </w:p>
    <w:p>
      <w:pPr>
        <w:pStyle w:val="Compact"/>
        <w:numPr>
          <w:ilvl w:val="0"/>
          <w:numId w:val="1005"/>
        </w:numPr>
      </w:pPr>
      <w:r>
        <w:t xml:space="preserve">Expansion activity among large enterprise accounts;</w:t>
      </w:r>
    </w:p>
    <w:p>
      <w:pPr>
        <w:pStyle w:val="Compact"/>
        <w:numPr>
          <w:ilvl w:val="0"/>
          <w:numId w:val="1005"/>
        </w:numPr>
      </w:pPr>
      <w:r>
        <w:t xml:space="preserve">Any evidence of pricing pressure or elongating sales cycles.</w:t>
      </w:r>
    </w:p>
    <w:p>
      <w:pPr>
        <w:pStyle w:val="FirstParagraph"/>
      </w:pPr>
      <w:r>
        <w:t xml:space="preserve">Security strength matters beyond segment revenue: it offsets the legacy delivery decline and helps fund the CIS buildout. A security slowdown would make the company’s strategic transition substantially more difficult.</w:t>
      </w:r>
    </w:p>
    <w:bookmarkEnd w:id="15"/>
    <w:bookmarkStart w:id="16" w:name="X1a6db2926dc0e4bdd77ba874af834182010f038"/>
    <w:p>
      <w:pPr>
        <w:pStyle w:val="Heading3"/>
      </w:pPr>
      <w:r>
        <w:t xml:space="preserve">3. Delivery and other cloud applications: the drag that needs to moderate</w:t>
      </w:r>
    </w:p>
    <w:p>
      <w:pPr>
        <w:pStyle w:val="FirstParagraph"/>
      </w:pPr>
      <w:r>
        <w:t xml:space="preserve">Delivery and other cloud applications revenue fell</w:t>
      </w:r>
      <w:r>
        <w:t xml:space="preserve"> </w:t>
      </w:r>
      <w:r>
        <w:rPr>
          <w:b/>
          <w:bCs/>
        </w:rPr>
        <w:t xml:space="preserve">7% year over year</w:t>
      </w:r>
      <w:r>
        <w:t xml:space="preserve"> </w:t>
      </w:r>
      <w:r>
        <w:t xml:space="preserve">in Q1. Management attributed the pressure partly to the wraparound impact of the Edgio transaction and expected the rate of decline to moderate during the remainder of 2026.</w:t>
      </w:r>
    </w:p>
    <w:p>
      <w:pPr>
        <w:pStyle w:val="BodyText"/>
      </w:pPr>
      <w:r>
        <w:t xml:space="preserve">This business is unlikely to become the near-term growth engine, but it remains important because it is cash-generative and deeply integrated with Akamai’s delivery and security platform.</w:t>
      </w:r>
    </w:p>
    <w:p>
      <w:pPr>
        <w:pStyle w:val="BodyText"/>
      </w:pPr>
      <w:r>
        <w:t xml:space="preserve">The key watch item is simple:</w:t>
      </w:r>
      <w:r>
        <w:t xml:space="preserve"> </w:t>
      </w:r>
      <w:r>
        <w:rPr>
          <w:b/>
          <w:bCs/>
        </w:rPr>
        <w:t xml:space="preserve">does the decline moderate as management promised?</w:t>
      </w:r>
      <w:r>
        <w:t xml:space="preserve"> </w:t>
      </w:r>
      <w:r>
        <w:t xml:space="preserve">A materially worse result would revive concerns about structural pricing pressure, customer optimization, and do-it-yourself infrastructure strategies among large internet customers.</w:t>
      </w:r>
    </w:p>
    <w:p>
      <w:r>
        <w:pict>
          <v:rect style="width:0;height:1.5pt" o:hralign="center" o:hrstd="t" o:hr="t"/>
        </w:pict>
      </w:r>
    </w:p>
    <w:bookmarkEnd w:id="16"/>
    <w:bookmarkEnd w:id="17"/>
    <w:bookmarkStart w:id="18" w:name="key-questions-for-the-call"/>
    <w:p>
      <w:pPr>
        <w:pStyle w:val="Heading2"/>
      </w:pPr>
      <w:r>
        <w:t xml:space="preserve">Key questions for the call</w:t>
      </w:r>
    </w:p>
    <w:p>
      <w:pPr>
        <w:numPr>
          <w:ilvl w:val="0"/>
          <w:numId w:val="1006"/>
        </w:numPr>
      </w:pPr>
      <w:r>
        <w:rPr>
          <w:b/>
          <w:bCs/>
        </w:rPr>
        <w:t xml:space="preserve">Has the $1.8 billion CIS customer deployment proceeded on schedule?</w:t>
      </w:r>
      <w:r>
        <w:br/>
      </w:r>
      <w:r>
        <w:t xml:space="preserve">Investors will seek confirmation on hardware procurement, facility readiness, power availability, and the expected Q4 revenue start.</w:t>
      </w:r>
    </w:p>
    <w:p>
      <w:pPr>
        <w:numPr>
          <w:ilvl w:val="0"/>
          <w:numId w:val="1006"/>
        </w:numPr>
      </w:pPr>
      <w:r>
        <w:rPr>
          <w:b/>
          <w:bCs/>
        </w:rPr>
        <w:t xml:space="preserve">Are additional large AI deals moving toward close?</w:t>
      </w:r>
      <w:r>
        <w:br/>
      </w:r>
      <w:r>
        <w:t xml:space="preserve">Management previously described a pipeline larger than existing and planned GPU inventory. The market will want more than broad optimism: it will want evidence of conversion, deal cadence, and the prospective size of the opportunity set.</w:t>
      </w:r>
    </w:p>
    <w:p>
      <w:pPr>
        <w:numPr>
          <w:ilvl w:val="0"/>
          <w:numId w:val="1006"/>
        </w:numPr>
      </w:pPr>
      <w:r>
        <w:rPr>
          <w:b/>
          <w:bCs/>
        </w:rPr>
        <w:t xml:space="preserve">Will capex move higher again?</w:t>
      </w:r>
      <w:r>
        <w:br/>
      </w:r>
      <w:r>
        <w:t xml:space="preserve">Additional spending could be bullish if tied to contracted or highly visible demand—but it could pressure the shares if commitments are less firm or returns are less clearly defined.</w:t>
      </w:r>
    </w:p>
    <w:p>
      <w:pPr>
        <w:numPr>
          <w:ilvl w:val="0"/>
          <w:numId w:val="1006"/>
        </w:numPr>
      </w:pPr>
      <w:r>
        <w:rPr>
          <w:b/>
          <w:bCs/>
        </w:rPr>
        <w:t xml:space="preserve">What is the expected gross-margin and free-cash-flow trajectory?</w:t>
      </w:r>
      <w:r>
        <w:br/>
      </w:r>
      <w:r>
        <w:t xml:space="preserve">Management has argued that large dedicated-capacity deals can scale well after deployment because depreciation is the main cost driver and cash gross margins can improve over time. Investors will want greater specificity on when that improvement begins.</w:t>
      </w:r>
    </w:p>
    <w:p>
      <w:pPr>
        <w:numPr>
          <w:ilvl w:val="0"/>
          <w:numId w:val="1006"/>
        </w:numPr>
      </w:pPr>
      <w:r>
        <w:rPr>
          <w:b/>
          <w:bCs/>
        </w:rPr>
        <w:t xml:space="preserve">Can security sustain high-single-digit or better growth?</w:t>
      </w:r>
      <w:r>
        <w:br/>
      </w:r>
      <w:r>
        <w:t xml:space="preserve">Continued strength in API security, microsegmentation, and WAF would support the thesis that Akamai benefits from both sides of AI: infrastructure demand and a more hostile cyber-threat environment.</w:t>
      </w:r>
    </w:p>
    <w:p>
      <w:pPr>
        <w:numPr>
          <w:ilvl w:val="0"/>
          <w:numId w:val="1006"/>
        </w:numPr>
      </w:pPr>
      <w:r>
        <w:rPr>
          <w:b/>
          <w:bCs/>
        </w:rPr>
        <w:t xml:space="preserve">Is delivery stabilizing?</w:t>
      </w:r>
      <w:r>
        <w:br/>
      </w:r>
      <w:r>
        <w:t xml:space="preserve">Even a modest improvement in the delivery decline would reduce a major concern around the base business.</w:t>
      </w:r>
    </w:p>
    <w:p>
      <w:r>
        <w:pict>
          <v:rect style="width:0;height:1.5pt" o:hralign="center" o:hrstd="t" o:hr="t"/>
        </w:pict>
      </w:r>
    </w:p>
    <w:bookmarkEnd w:id="18"/>
    <w:bookmarkStart w:id="19" w:name="Xb4f02593b8fab057462e0a4dca8cecf4195e3ed"/>
    <w:p>
      <w:pPr>
        <w:pStyle w:val="Heading2"/>
      </w:pPr>
      <w:r>
        <w:t xml:space="preserve">Balance sheet and financing: a new part of the story</w:t>
      </w:r>
    </w:p>
    <w:p>
      <w:pPr>
        <w:pStyle w:val="FirstParagraph"/>
      </w:pPr>
      <w:r>
        <w:t xml:space="preserve">Akamai ended Q1 with approximately</w:t>
      </w:r>
      <w:r>
        <w:t xml:space="preserve"> </w:t>
      </w:r>
      <m:oMath>
        <m:r>
          <m:t>1.7</m:t>
        </m:r>
        <m:r>
          <m:t>b</m:t>
        </m:r>
        <m:r>
          <m:t>i</m:t>
        </m:r>
        <m:r>
          <m:t>l</m:t>
        </m:r>
        <m:r>
          <m:t>l</m:t>
        </m:r>
        <m:r>
          <m:t>i</m:t>
        </m:r>
        <m:r>
          <m:t>o</m:t>
        </m:r>
        <m:r>
          <m:t>n</m:t>
        </m:r>
        <m:r>
          <m:rPr>
            <m:sty m:val="p"/>
          </m:rPr>
          <m:t>*</m:t>
        </m:r>
        <m:r>
          <m:rPr>
            <m:sty m:val="p"/>
          </m:rPr>
          <m:t>*</m:t>
        </m:r>
        <m:r>
          <m:t>o</m:t>
        </m:r>
        <m:r>
          <m:t>f</m:t>
        </m:r>
        <m:r>
          <m:t>c</m:t>
        </m:r>
        <m:r>
          <m:t>a</m:t>
        </m:r>
        <m:r>
          <m:t>s</m:t>
        </m:r>
        <m:r>
          <m:t>h</m:t>
        </m:r>
        <m:r>
          <m:rPr>
            <m:sty m:val="p"/>
          </m:rPr>
          <m:t>,</m:t>
        </m:r>
        <m:r>
          <m:t>c</m:t>
        </m:r>
        <m:r>
          <m:t>a</m:t>
        </m:r>
        <m:r>
          <m:t>s</m:t>
        </m:r>
        <m:r>
          <m:t>h</m:t>
        </m:r>
        <m:r>
          <m:t>e</m:t>
        </m:r>
        <m:r>
          <m:t>q</m:t>
        </m:r>
        <m:r>
          <m:t>u</m:t>
        </m:r>
        <m:r>
          <m:t>i</m:t>
        </m:r>
        <m:r>
          <m:t>v</m:t>
        </m:r>
        <m:r>
          <m:t>a</m:t>
        </m:r>
        <m:r>
          <m:t>l</m:t>
        </m:r>
        <m:r>
          <m:t>e</m:t>
        </m:r>
        <m:r>
          <m:t>n</m:t>
        </m:r>
        <m:r>
          <m:t>t</m:t>
        </m:r>
        <m:r>
          <m:t>s</m:t>
        </m:r>
        <m:r>
          <m:rPr>
            <m:sty m:val="p"/>
          </m:rPr>
          <m:t>,</m:t>
        </m:r>
        <m:r>
          <m:t>a</m:t>
        </m:r>
        <m:r>
          <m:t>n</m:t>
        </m:r>
        <m:r>
          <m:t>d</m:t>
        </m:r>
        <m:r>
          <m:t>m</m:t>
        </m:r>
        <m:r>
          <m:t>a</m:t>
        </m:r>
        <m:r>
          <m:t>r</m:t>
        </m:r>
        <m:r>
          <m:t>k</m:t>
        </m:r>
        <m:r>
          <m:t>e</m:t>
        </m:r>
        <m:r>
          <m:t>t</m:t>
        </m:r>
        <m:r>
          <m:t>a</m:t>
        </m:r>
        <m:r>
          <m:t>b</m:t>
        </m:r>
        <m:r>
          <m:t>l</m:t>
        </m:r>
        <m:r>
          <m:t>e</m:t>
        </m:r>
        <m:r>
          <m:t>s</m:t>
        </m:r>
        <m:r>
          <m:t>e</m:t>
        </m:r>
        <m:r>
          <m:t>c</m:t>
        </m:r>
        <m:r>
          <m:t>u</m:t>
        </m:r>
        <m:r>
          <m:t>r</m:t>
        </m:r>
        <m:r>
          <m:t>i</m:t>
        </m:r>
        <m:r>
          <m:t>t</m:t>
        </m:r>
        <m:r>
          <m:t>i</m:t>
        </m:r>
        <m:r>
          <m:t>e</m:t>
        </m:r>
        <m:r>
          <m:t>s</m:t>
        </m:r>
        <m:r>
          <m:rPr>
            <m:sty m:val="p"/>
          </m:rPr>
          <m:t>,</m:t>
        </m:r>
        <m:r>
          <m:t>a</m:t>
        </m:r>
        <m:r>
          <m:t>l</m:t>
        </m:r>
        <m:r>
          <m:t>o</m:t>
        </m:r>
        <m:r>
          <m:t>n</m:t>
        </m:r>
        <m:r>
          <m:t>g</m:t>
        </m:r>
        <m:r>
          <m:t>s</m:t>
        </m:r>
        <m:r>
          <m:t>i</m:t>
        </m:r>
        <m:r>
          <m:t>d</m:t>
        </m:r>
        <m:r>
          <m:t>e</m:t>
        </m:r>
        <m:r>
          <m:t>s</m:t>
        </m:r>
        <m:r>
          <m:t>u</m:t>
        </m:r>
        <m:r>
          <m:t>b</m:t>
        </m:r>
        <m:r>
          <m:t>s</m:t>
        </m:r>
        <m:r>
          <m:t>t</m:t>
        </m:r>
        <m:r>
          <m:t>a</m:t>
        </m:r>
        <m:r>
          <m:t>n</m:t>
        </m:r>
        <m:r>
          <m:t>t</m:t>
        </m:r>
        <m:r>
          <m:t>i</m:t>
        </m:r>
        <m:r>
          <m:t>a</m:t>
        </m:r>
        <m:r>
          <m:t>l</m:t>
        </m:r>
        <m:r>
          <m:t>c</m:t>
        </m:r>
        <m:r>
          <m:t>o</m:t>
        </m:r>
        <m:r>
          <m:t>n</m:t>
        </m:r>
        <m:r>
          <m:t>v</m:t>
        </m:r>
        <m:r>
          <m:t>e</m:t>
        </m:r>
        <m:r>
          <m:t>r</m:t>
        </m:r>
        <m:r>
          <m:t>t</m:t>
        </m:r>
        <m:r>
          <m:t>i</m:t>
        </m:r>
        <m:r>
          <m:t>b</m:t>
        </m:r>
        <m:r>
          <m:t>l</m:t>
        </m:r>
        <m:r>
          <m:t>e</m:t>
        </m:r>
        <m:r>
          <m:t>d</m:t>
        </m:r>
        <m:r>
          <m:t>e</m:t>
        </m:r>
        <m:r>
          <m:t>b</m:t>
        </m:r>
        <m:r>
          <m:t>t</m:t>
        </m:r>
        <m:r>
          <m:rPr>
            <m:sty m:val="p"/>
          </m:rPr>
          <m:t>.</m:t>
        </m:r>
        <m:r>
          <m:t>I</m:t>
        </m:r>
        <m:r>
          <m:t>n</m:t>
        </m:r>
        <m:r>
          <m:t>M</m:t>
        </m:r>
        <m:r>
          <m:t>a</m:t>
        </m:r>
        <m:r>
          <m:t>y</m:t>
        </m:r>
        <m:r>
          <m:rPr>
            <m:sty m:val="p"/>
          </m:rPr>
          <m:t>,</m:t>
        </m:r>
        <m:r>
          <m:t>t</m:t>
        </m:r>
        <m:r>
          <m:t>h</m:t>
        </m:r>
        <m:r>
          <m:t>e</m:t>
        </m:r>
        <m:r>
          <m:t>c</m:t>
        </m:r>
        <m:r>
          <m:t>o</m:t>
        </m:r>
        <m:r>
          <m:t>m</m:t>
        </m:r>
        <m:r>
          <m:t>p</m:t>
        </m:r>
        <m:r>
          <m:t>a</m:t>
        </m:r>
        <m:r>
          <m:t>n</m:t>
        </m:r>
        <m:r>
          <m:t>y</m:t>
        </m:r>
        <m:r>
          <m:t>a</m:t>
        </m:r>
        <m:r>
          <m:t>n</m:t>
        </m:r>
        <m:r>
          <m:t>n</m:t>
        </m:r>
        <m:r>
          <m:t>o</m:t>
        </m:r>
        <m:r>
          <m:t>u</m:t>
        </m:r>
        <m:r>
          <m:t>n</m:t>
        </m:r>
        <m:r>
          <m:t>c</m:t>
        </m:r>
        <m:r>
          <m:t>e</m:t>
        </m:r>
        <m:r>
          <m:t>d</m:t>
        </m:r>
        <m:r>
          <m:t>p</m:t>
        </m:r>
        <m:r>
          <m:t>l</m:t>
        </m:r>
        <m:r>
          <m:t>a</m:t>
        </m:r>
        <m:r>
          <m:t>n</m:t>
        </m:r>
        <m:r>
          <m:t>s</m:t>
        </m:r>
        <m:r>
          <m:t>f</m:t>
        </m:r>
        <m:r>
          <m:t>o</m:t>
        </m:r>
        <m:r>
          <m:t>r</m:t>
        </m:r>
        <m:r>
          <m:t>a</m:t>
        </m:r>
        <m:r>
          <m:rPr>
            <m:sty m:val="p"/>
          </m:rPr>
          <m:t>*</m:t>
        </m:r>
        <m:r>
          <m:rPr>
            <m:sty m:val="p"/>
          </m:rPr>
          <m:t>*</m:t>
        </m:r>
      </m:oMath>
      <w:r>
        <w:rPr>
          <w:b/>
          <w:bCs/>
        </w:rPr>
        <w:t xml:space="preserve">2.6 billion convertible note offering</w:t>
      </w:r>
      <w:r>
        <w:t xml:space="preserve">, with proceeds intended primarily to support the accelerated CIS infrastructure buildout and general corporate purposes, while also contemplating roughly</w:t>
      </w:r>
      <w:r>
        <w:t xml:space="preserve"> </w:t>
      </w:r>
      <w:r>
        <w:rPr>
          <w:b/>
          <w:bCs/>
        </w:rPr>
        <w:t xml:space="preserve">$350 million</w:t>
      </w:r>
      <w:r>
        <w:t xml:space="preserve"> </w:t>
      </w:r>
      <w:r>
        <w:t xml:space="preserve">of share repurchases.</w:t>
      </w:r>
    </w:p>
    <w:p>
      <w:pPr>
        <w:pStyle w:val="BodyText"/>
      </w:pPr>
      <w:r>
        <w:t xml:space="preserve">That financing framework is strategically important. It shows management is willing to use the balance sheet to pursue the AI infrastructure opportunity rather than constrain growth to internally generated cash flow. For shareholders, the trade-off is clear:</w:t>
      </w:r>
    </w:p>
    <w:p>
      <w:pPr>
        <w:pStyle w:val="Compact"/>
        <w:numPr>
          <w:ilvl w:val="0"/>
          <w:numId w:val="1007"/>
        </w:numPr>
      </w:pPr>
      <w:r>
        <w:rPr>
          <w:b/>
          <w:bCs/>
        </w:rPr>
        <w:t xml:space="preserve">Potential benefit:</w:t>
      </w:r>
      <w:r>
        <w:t xml:space="preserve"> </w:t>
      </w:r>
      <w:r>
        <w:t xml:space="preserve">faster capacity deployment and a larger long-term CIS revenue base.</w:t>
      </w:r>
    </w:p>
    <w:p>
      <w:pPr>
        <w:pStyle w:val="Compact"/>
        <w:numPr>
          <w:ilvl w:val="0"/>
          <w:numId w:val="1007"/>
        </w:numPr>
      </w:pPr>
      <w:r>
        <w:rPr>
          <w:b/>
          <w:bCs/>
        </w:rPr>
        <w:t xml:space="preserve">Potential cost:</w:t>
      </w:r>
      <w:r>
        <w:t xml:space="preserve"> </w:t>
      </w:r>
      <w:r>
        <w:t xml:space="preserve">higher leverage, more complex dilution dynamics, and a longer period of depressed free cash flow.</w:t>
      </w:r>
    </w:p>
    <w:p>
      <w:pPr>
        <w:pStyle w:val="FirstParagraph"/>
      </w:pPr>
      <w:r>
        <w:t xml:space="preserve">Q2 results should offer an updated view of the company’s post-financing liquidity, capital allocation, debt structure, and repurchase activity.</w:t>
      </w:r>
    </w:p>
    <w:p>
      <w:r>
        <w:pict>
          <v:rect style="width:0;height:1.5pt" o:hralign="center" o:hrstd="t" o:hr="t"/>
        </w:pict>
      </w:r>
    </w:p>
    <w:bookmarkEnd w:id="19"/>
    <w:bookmarkStart w:id="20" w:name="what-would-constitute-a-positive-report"/>
    <w:p>
      <w:pPr>
        <w:pStyle w:val="Heading2"/>
      </w:pPr>
      <w:r>
        <w:t xml:space="preserve">What would constitute a positive report?</w:t>
      </w:r>
    </w:p>
    <w:p>
      <w:pPr>
        <w:pStyle w:val="FirstParagraph"/>
      </w:pPr>
      <w:r>
        <w:t xml:space="preserve">A constructive setup would likely include:</w:t>
      </w:r>
    </w:p>
    <w:p>
      <w:pPr>
        <w:pStyle w:val="Compact"/>
        <w:numPr>
          <w:ilvl w:val="0"/>
          <w:numId w:val="1008"/>
        </w:numPr>
      </w:pPr>
      <w:r>
        <w:t xml:space="preserve">Revenue and non-GAAP EPS at or above the upper half of guidance;</w:t>
      </w:r>
    </w:p>
    <w:p>
      <w:pPr>
        <w:pStyle w:val="Compact"/>
        <w:numPr>
          <w:ilvl w:val="0"/>
          <w:numId w:val="1008"/>
        </w:numPr>
      </w:pPr>
      <w:r>
        <w:t xml:space="preserve">CIS growth at or above the pace implied by the full-year outlook;</w:t>
      </w:r>
    </w:p>
    <w:p>
      <w:pPr>
        <w:pStyle w:val="Compact"/>
        <w:numPr>
          <w:ilvl w:val="0"/>
          <w:numId w:val="1008"/>
        </w:numPr>
      </w:pPr>
      <w:r>
        <w:t xml:space="preserve">Confirmation that the large AI commitment remains on schedule for a Q4 ramp;</w:t>
      </w:r>
    </w:p>
    <w:p>
      <w:pPr>
        <w:pStyle w:val="Compact"/>
        <w:numPr>
          <w:ilvl w:val="0"/>
          <w:numId w:val="1008"/>
        </w:numPr>
      </w:pPr>
      <w:r>
        <w:t xml:space="preserve">Evidence of incremental AI infrastructure wins or strong late-stage pipeline conversion;</w:t>
      </w:r>
    </w:p>
    <w:p>
      <w:pPr>
        <w:pStyle w:val="Compact"/>
        <w:numPr>
          <w:ilvl w:val="0"/>
          <w:numId w:val="1008"/>
        </w:numPr>
      </w:pPr>
      <w:r>
        <w:t xml:space="preserve">Security growth that remains firmly high-single-digit or better;</w:t>
      </w:r>
    </w:p>
    <w:p>
      <w:pPr>
        <w:pStyle w:val="Compact"/>
        <w:numPr>
          <w:ilvl w:val="0"/>
          <w:numId w:val="1008"/>
        </w:numPr>
      </w:pPr>
      <w:r>
        <w:t xml:space="preserve">Delivery declines that moderate;</w:t>
      </w:r>
    </w:p>
    <w:p>
      <w:pPr>
        <w:pStyle w:val="Compact"/>
        <w:numPr>
          <w:ilvl w:val="0"/>
          <w:numId w:val="1008"/>
        </w:numPr>
      </w:pPr>
      <w:r>
        <w:t xml:space="preserve">No material increase in capex without clearly associated contracted demand;</w:t>
      </w:r>
    </w:p>
    <w:p>
      <w:pPr>
        <w:pStyle w:val="Compact"/>
        <w:numPr>
          <w:ilvl w:val="0"/>
          <w:numId w:val="1008"/>
        </w:numPr>
      </w:pPr>
      <w:r>
        <w:t xml:space="preserve">Reaffirmed or raised full-year revenue, CIS growth, and margin outlook.</w:t>
      </w:r>
    </w:p>
    <w:bookmarkEnd w:id="20"/>
    <w:bookmarkStart w:id="21" w:name="what-would-disappoint-investors"/>
    <w:p>
      <w:pPr>
        <w:pStyle w:val="Heading2"/>
      </w:pPr>
      <w:r>
        <w:t xml:space="preserve">What would disappoint investors?</w:t>
      </w:r>
    </w:p>
    <w:p>
      <w:pPr>
        <w:pStyle w:val="FirstParagraph"/>
      </w:pPr>
      <w:r>
        <w:t xml:space="preserve">The main downside risks are:</w:t>
      </w:r>
    </w:p>
    <w:p>
      <w:pPr>
        <w:pStyle w:val="Compact"/>
        <w:numPr>
          <w:ilvl w:val="0"/>
          <w:numId w:val="1009"/>
        </w:numPr>
      </w:pPr>
      <w:r>
        <w:t xml:space="preserve">CIS growth decelerates before the major customer ramp begins;</w:t>
      </w:r>
    </w:p>
    <w:p>
      <w:pPr>
        <w:pStyle w:val="Compact"/>
        <w:numPr>
          <w:ilvl w:val="0"/>
          <w:numId w:val="1009"/>
        </w:numPr>
      </w:pPr>
      <w:r>
        <w:t xml:space="preserve">The $1.8 billion deployment timeline shifts or capex rises materially;</w:t>
      </w:r>
    </w:p>
    <w:p>
      <w:pPr>
        <w:pStyle w:val="Compact"/>
        <w:numPr>
          <w:ilvl w:val="0"/>
          <w:numId w:val="1009"/>
        </w:numPr>
      </w:pPr>
      <w:r>
        <w:t xml:space="preserve">Management signals that AI demand is real but contracts are taking longer to close;</w:t>
      </w:r>
    </w:p>
    <w:p>
      <w:pPr>
        <w:pStyle w:val="Compact"/>
        <w:numPr>
          <w:ilvl w:val="0"/>
          <w:numId w:val="1009"/>
        </w:numPr>
      </w:pPr>
      <w:r>
        <w:t xml:space="preserve">Security growth softens materially;</w:t>
      </w:r>
    </w:p>
    <w:p>
      <w:pPr>
        <w:pStyle w:val="Compact"/>
        <w:numPr>
          <w:ilvl w:val="0"/>
          <w:numId w:val="1009"/>
        </w:numPr>
      </w:pPr>
      <w:r>
        <w:t xml:space="preserve">Delivery declines worsen;</w:t>
      </w:r>
    </w:p>
    <w:p>
      <w:pPr>
        <w:pStyle w:val="Compact"/>
        <w:numPr>
          <w:ilvl w:val="0"/>
          <w:numId w:val="1009"/>
        </w:numPr>
      </w:pPr>
      <w:r>
        <w:t xml:space="preserve">Cash margins, EBITDA margins, or free cash flow deteriorate beyond the planned investment cycle;</w:t>
      </w:r>
    </w:p>
    <w:p>
      <w:pPr>
        <w:pStyle w:val="Compact"/>
        <w:numPr>
          <w:ilvl w:val="0"/>
          <w:numId w:val="1009"/>
        </w:numPr>
      </w:pPr>
      <w:r>
        <w:t xml:space="preserve">Full-year revenue or earnings guidance is reduced.</w:t>
      </w:r>
    </w:p>
    <w:p>
      <w:r>
        <w:pict>
          <v:rect style="width:0;height:1.5pt" o:hralign="center" o:hrstd="t" o:hr="t"/>
        </w:pict>
      </w:r>
    </w:p>
    <w:bookmarkEnd w:id="21"/>
    <w:bookmarkStart w:id="22" w:name="bottom-line"/>
    <w:p>
      <w:pPr>
        <w:pStyle w:val="Heading2"/>
      </w:pPr>
      <w:r>
        <w:t xml:space="preserve">Bottom line</w:t>
      </w:r>
    </w:p>
    <w:p>
      <w:pPr>
        <w:pStyle w:val="FirstParagraph"/>
      </w:pPr>
      <w:r>
        <w:t xml:space="preserve">Akamai’s Q2 report is a</w:t>
      </w:r>
      <w:r>
        <w:t xml:space="preserve"> </w:t>
      </w:r>
      <w:r>
        <w:rPr>
          <w:b/>
          <w:bCs/>
        </w:rPr>
        <w:t xml:space="preserve">proof-of-execution quarter</w:t>
      </w:r>
      <w:r>
        <w:t xml:space="preserve">. The company has already presented investors with a compelling long-term AI infrastructure opportunity, but it now needs to demonstrate disciplined delivery: contracted demand, deployed capacity, durable security growth, and credible economics through a period of unusually high capex.</w:t>
      </w:r>
    </w:p>
    <w:p>
      <w:pPr>
        <w:pStyle w:val="BodyText"/>
      </w:pPr>
      <w:r>
        <w:t xml:space="preserve">The near-term earnings print matters, but the stock reaction is likely to hinge more on management’s commentary around</w:t>
      </w:r>
      <w:r>
        <w:t xml:space="preserve"> </w:t>
      </w:r>
      <w:r>
        <w:rPr>
          <w:b/>
          <w:bCs/>
        </w:rPr>
        <w:t xml:space="preserve">CIS bookings, deployment timing, incremental GPU demand, capex discipline, and the path back to stronger free-cash-flow generation</w:t>
      </w:r>
      <w:r>
        <w:t xml:space="preserve">.</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2026-08-06T01:01:02Z</dcterms:created>
  <dcterms:modified xsi:type="dcterms:W3CDTF">2026-08-06T01:01:02Z</dcterms:modified>
</cp:coreProperties>
</file>

<file path=docProps/custom.xml><?xml version="1.0" encoding="utf-8"?>
<Properties xmlns="http://schemas.openxmlformats.org/officeDocument/2006/custom-properties" xmlns:vt="http://schemas.openxmlformats.org/officeDocument/2006/docPropsVTypes"/>
</file>