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kam-earnings-predictions--2026-08-06"/>
    <w:p>
      <w:pPr>
        <w:pStyle w:val="Heading1"/>
      </w:pPr>
      <w:r>
        <w:t xml:space="preserve">AKAM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CIS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~$108M vs. cons $101.7M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~$1.60 vs. cons $1.58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Security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~$608M vs. cons $600.6M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CIS Growth FY2026 (full year)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~at least 55% CC vs. cons ~50%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GPU Pipeline / Additional Orders (qualitative, 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additional orders confirmed vs. prior 'may place'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reiterate/narrow upper half ~$4,500M vs. cons $4,501M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narrow to</w:t>
            </w:r>
            <w:r>
              <w:t xml:space="preserve"> </w:t>
            </w:r>
            <m:oMath>
              <m:r>
                <m:t>6.60</m:t>
              </m:r>
              <m:r>
                <m:rPr>
                  <m:sty m:val="p"/>
                </m:rPr>
                <m:t>−</m:t>
              </m:r>
            </m:oMath>
            <w:r>
              <w:t xml:space="preserve">7.15 vs. cons $6.69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short covering (13.5% of float) + CIS estimate revisions drive continued bid; no single-day catalyst but incremental positive revisions as sell-side updates models on raised CIS guide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2026-08-08T02:00:51Z</dcterms:created>
  <dcterms:modified xsi:type="dcterms:W3CDTF">2026-08-08T02:00:51Z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