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Akamai Technologies (AKAM)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Akamai Technologies, Inc.</w:t>
            </w:r>
          </w:p>
        </w:tc>
      </w:tr>
      <w:tr>
        <w:tc>
          <w:tcPr>
            <w:tcW w:type="dxa" w:w="4320"/>
          </w:tcPr>
          <w:p>
            <w:r>
              <w:rPr>
                <w:rFonts w:ascii="Calibri" w:hAnsi="Calibri"/>
                <w:b/>
                <w:sz w:val="22"/>
              </w:rPr>
              <w:t>Ticker</w:t>
            </w:r>
          </w:p>
        </w:tc>
        <w:tc>
          <w:tcPr>
            <w:tcW w:type="dxa" w:w="4320"/>
          </w:tcPr>
          <w:p>
            <w:r>
              <w:rPr>
                <w:rFonts w:ascii="Calibri" w:hAnsi="Calibri"/>
                <w:sz w:val="22"/>
              </w:rPr>
              <w:t>NASDAQ: AKAM</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(after market close)</w:t>
            </w:r>
          </w:p>
        </w:tc>
      </w:tr>
      <w:tr>
        <w:tc>
          <w:tcPr>
            <w:tcW w:type="dxa" w:w="4320"/>
          </w:tcPr>
          <w:p>
            <w:r>
              <w:rPr>
                <w:rFonts w:ascii="Calibri" w:hAnsi="Calibri"/>
                <w:b/>
                <w:sz w:val="22"/>
              </w:rPr>
              <w:t>Preparation Date</w:t>
            </w:r>
          </w:p>
        </w:tc>
        <w:tc>
          <w:tcPr>
            <w:tcW w:type="dxa" w:w="4320"/>
          </w:tcPr>
          <w:p>
            <w:r>
              <w:rPr>
                <w:rFonts w:ascii="Calibri" w:hAnsi="Calibri"/>
                <w:sz w:val="22"/>
              </w:rPr>
              <w:t>August 5, 2026</w:t>
            </w:r>
          </w:p>
        </w:tc>
      </w:tr>
      <w:tr>
        <w:tc>
          <w:tcPr>
            <w:tcW w:type="dxa" w:w="4320"/>
          </w:tcPr>
          <w:p>
            <w:r>
              <w:rPr>
                <w:rFonts w:ascii="Calibri" w:hAnsi="Calibri"/>
                <w:b/>
                <w:sz w:val="22"/>
              </w:rPr>
              <w:t>Sector ETF Benchmark</w:t>
            </w:r>
          </w:p>
        </w:tc>
        <w:tc>
          <w:tcPr>
            <w:tcW w:type="dxa" w:w="4320"/>
          </w:tcPr>
          <w:p>
            <w:r>
              <w:rPr>
                <w:rFonts w:ascii="Calibri" w:hAnsi="Calibri"/>
                <w:sz w:val="22"/>
              </w:rPr>
              <w:t>IGV (iShares Expanded Tech-Software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mixed — consensus is a manageable bar on revenue but the wide EPS guidance range ($1.45–$1.65) creates meaningful uncertainty; the single biggest swing factor is whether CIS revenue ramp and GPU delivery progress in Q2 can offset the margin compression from the unprecedented CapEx surge.</w:t>
      </w:r>
    </w:p>
    <w:p>
      <w:r>
        <w:rPr>
          <w:rFonts w:ascii="Calibri" w:hAnsi="Calibri"/>
          <w:color w:val="525866"/>
          <w:sz w:val="22"/>
        </w:rPr>
        <w:t xml:space="preserve">Heading into AKAM's Q2 2026 print, the setup is nuanced: revenue consensus of ~$1.09B sits comfortably within management's guided range of $1.075–$1.10B, making a top-line beat or in-line result the base case, but the </w:t>
      </w:r>
      <w:r>
        <w:rPr>
          <w:rFonts w:ascii="Calibri" w:hAnsi="Calibri"/>
          <w:b/>
          <w:color w:val="525866"/>
          <w:sz w:val="22"/>
        </w:rPr>
        <w:t>wide non-GAAP EPS guidance range ($1.45–$1.65)</w:t>
      </w:r>
      <w:r>
        <w:rPr>
          <w:rFonts w:ascii="Calibri" w:hAnsi="Calibri"/>
          <w:color w:val="525866"/>
          <w:sz w:val="22"/>
        </w:rPr>
        <w:t xml:space="preserve"> — driven by the timing and magnitude of GPU deliveries and associated depreciation — leaves the bottom line as the key variable. Management's tone since the May 7 earnings call has been decidedly confident, punctuated by the landmark $1.8B CIS deal and the subsequent $2.6B convertible note offering to fund the build-out, signaling conviction in the demand pipeline. Estimate revisions have been broadly stable since the post-Q1 baseline, with the street largely accepting management's guidance framework rather than diverging materially, though </w:t>
      </w:r>
      <w:r>
        <w:rPr>
          <w:rFonts w:ascii="Calibri" w:hAnsi="Calibri"/>
          <w:b/>
          <w:color w:val="525866"/>
          <w:sz w:val="22"/>
        </w:rPr>
        <w:t>full-year EPS consensus of ~$6.69 sits near the midpoint of the $6.40–$7.15 guided range</w:t>
      </w:r>
      <w:r>
        <w:rPr>
          <w:rFonts w:ascii="Calibri" w:hAnsi="Calibri"/>
          <w:color w:val="525866"/>
          <w:sz w:val="22"/>
        </w:rPr>
        <w:t xml:space="preserve"> — a wide band that reflects genuine uncertainty around depreciation timing. The stock surged ~27% on the Q1 print on the $1.8B deal announcement, but has since given back most of those gains, trading near ~$122 heading into the print, suggesting the market has partially de-rated the stock as CapEx intensity and margin compression concerns have weighed on sentiment. The key wildcard is </w:t>
      </w:r>
      <w:r>
        <w:rPr>
          <w:rFonts w:ascii="Calibri" w:hAnsi="Calibri"/>
          <w:b/>
          <w:color w:val="525866"/>
          <w:sz w:val="22"/>
        </w:rPr>
        <w:t>whether management provides any update on additional GPU orders beyond the current guide</w:t>
      </w:r>
      <w:r>
        <w:rPr>
          <w:rFonts w:ascii="Calibri" w:hAnsi="Calibri"/>
          <w:color w:val="525866"/>
          <w:sz w:val="22"/>
        </w:rPr>
        <w:t xml:space="preserve"> — the Q1 call explicitly flagged that the GPU pipeline significantly exceeds existing inventory and that additional orders in H2 2026 are possible but not yet in guidance, which could either be a positive catalyst (more demand) or a negative one (more CapEx, more margin pressure).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revenue (within guidance range), but the EPS bar is the bigger swing factor given the wide guided range driven by GPU depreciation timing; CIS revenue growth trajectory is the most watched KPI heading into the print.</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Guidance Mid</w:t>
            </w:r>
          </w:p>
        </w:tc>
      </w:tr>
      <w:tr>
        <w:tc>
          <w:tcPr>
            <w:tcW w:type="dxa" w:w="1234"/>
          </w:tcPr>
          <w:p>
            <w:r>
              <w:rPr>
                <w:rFonts w:ascii="Calibri" w:hAnsi="Calibri"/>
                <w:sz w:val="22"/>
              </w:rPr>
              <w:t>Total Revenue ($M)</w:t>
            </w:r>
          </w:p>
        </w:tc>
        <w:tc>
          <w:tcPr>
            <w:tcW w:type="dxa" w:w="1234"/>
          </w:tcPr>
          <w:p>
            <w:r>
              <w:rPr>
                <w:rFonts w:ascii="Calibri" w:hAnsi="Calibri"/>
                <w:sz w:val="22"/>
              </w:rPr>
              <w:t>$1,073.6</w:t>
            </w:r>
          </w:p>
        </w:tc>
        <w:tc>
          <w:tcPr>
            <w:tcW w:type="dxa" w:w="1234"/>
          </w:tcPr>
          <w:p>
            <w:r>
              <w:rPr>
                <w:rFonts w:ascii="Calibri" w:hAnsi="Calibri"/>
                <w:sz w:val="22"/>
              </w:rPr>
              <w:t>$1,043.5</w:t>
            </w:r>
          </w:p>
        </w:tc>
        <w:tc>
          <w:tcPr>
            <w:tcW w:type="dxa" w:w="1234"/>
          </w:tcPr>
          <w:p>
            <w:r>
              <w:rPr>
                <w:rFonts w:ascii="Calibri" w:hAnsi="Calibri"/>
                <w:sz w:val="22"/>
              </w:rPr>
              <w:t>$1,093.1</w:t>
            </w:r>
          </w:p>
        </w:tc>
        <w:tc>
          <w:tcPr>
            <w:tcW w:type="dxa" w:w="1234"/>
          </w:tcPr>
          <w:p>
            <w:r>
              <w:rPr>
                <w:rFonts w:ascii="Calibri" w:hAnsi="Calibri"/>
                <w:sz w:val="22"/>
              </w:rPr>
              <w:t>+4.8% YoY</w:t>
            </w:r>
          </w:p>
        </w:tc>
        <w:tc>
          <w:tcPr>
            <w:tcW w:type="dxa" w:w="1234"/>
          </w:tcPr>
          <w:p>
            <w:r>
              <w:rPr>
                <w:rFonts w:ascii="Calibri" w:hAnsi="Calibri"/>
                <w:sz w:val="22"/>
              </w:rPr>
              <w:t>$1,075–$1,100M</w:t>
            </w:r>
          </w:p>
        </w:tc>
        <w:tc>
          <w:tcPr>
            <w:tcW w:type="dxa" w:w="1234"/>
          </w:tcPr>
          <w:p>
            <w:r>
              <w:rPr>
                <w:rFonts w:ascii="Calibri" w:hAnsi="Calibri"/>
                <w:sz w:val="22"/>
              </w:rPr>
              <w:t>+0.3% vs. $1,087.5M mid</w:t>
            </w:r>
          </w:p>
        </w:tc>
      </w:tr>
      <w:tr>
        <w:tc>
          <w:tcPr>
            <w:tcW w:type="dxa" w:w="1234"/>
          </w:tcPr>
          <w:p>
            <w:r>
              <w:rPr>
                <w:rFonts w:ascii="Calibri" w:hAnsi="Calibri"/>
                <w:sz w:val="22"/>
              </w:rPr>
              <w:t>Security Revenue ($M)</w:t>
            </w:r>
          </w:p>
        </w:tc>
        <w:tc>
          <w:tcPr>
            <w:tcW w:type="dxa" w:w="1234"/>
          </w:tcPr>
          <w:p>
            <w:r>
              <w:rPr>
                <w:rFonts w:ascii="Calibri" w:hAnsi="Calibri"/>
                <w:sz w:val="22"/>
              </w:rPr>
              <w:t>$589.8</w:t>
            </w:r>
          </w:p>
        </w:tc>
        <w:tc>
          <w:tcPr>
            <w:tcW w:type="dxa" w:w="1234"/>
          </w:tcPr>
          <w:p>
            <w:r>
              <w:rPr>
                <w:rFonts w:ascii="Calibri" w:hAnsi="Calibri"/>
                <w:sz w:val="22"/>
              </w:rPr>
              <w:t>$551.9</w:t>
            </w:r>
          </w:p>
        </w:tc>
        <w:tc>
          <w:tcPr>
            <w:tcW w:type="dxa" w:w="1234"/>
          </w:tcPr>
          <w:p>
            <w:r>
              <w:rPr>
                <w:rFonts w:ascii="Calibri" w:hAnsi="Calibri"/>
                <w:sz w:val="22"/>
              </w:rPr>
              <w:t>$600.6</w:t>
            </w:r>
          </w:p>
        </w:tc>
        <w:tc>
          <w:tcPr>
            <w:tcW w:type="dxa" w:w="1234"/>
          </w:tcPr>
          <w:p>
            <w:r>
              <w:rPr>
                <w:rFonts w:ascii="Calibri" w:hAnsi="Calibri"/>
                <w:sz w:val="22"/>
              </w:rPr>
              <w:t>+8.8% YoY</w:t>
            </w:r>
          </w:p>
        </w:tc>
        <w:tc>
          <w:tcPr>
            <w:tcW w:type="dxa" w:w="1234"/>
          </w:tcPr>
          <w:p>
            <w:r>
              <w:rPr>
                <w:rFonts w:ascii="Calibri" w:hAnsi="Calibri"/>
                <w:sz w:val="22"/>
              </w:rPr>
              <w:t>High single digits CC growth (FY)</w:t>
            </w:r>
          </w:p>
        </w:tc>
        <w:tc>
          <w:tcPr>
            <w:tcW w:type="dxa" w:w="1234"/>
          </w:tcPr>
          <w:p>
            <w:r>
              <w:rPr>
                <w:rFonts w:ascii="Calibri" w:hAnsi="Calibri"/>
                <w:sz w:val="22"/>
              </w:rPr>
              <w:t>Tracking guidance</w:t>
            </w:r>
          </w:p>
        </w:tc>
      </w:tr>
      <w:tr>
        <w:tc>
          <w:tcPr>
            <w:tcW w:type="dxa" w:w="1234"/>
          </w:tcPr>
          <w:p>
            <w:r>
              <w:rPr>
                <w:rFonts w:ascii="Calibri" w:hAnsi="Calibri"/>
                <w:sz w:val="22"/>
              </w:rPr>
              <w:t>Cloud Infrastructure Services (CIS) Revenue ($M)</w:t>
            </w:r>
          </w:p>
        </w:tc>
        <w:tc>
          <w:tcPr>
            <w:tcW w:type="dxa" w:w="1234"/>
          </w:tcPr>
          <w:p>
            <w:r>
              <w:rPr>
                <w:rFonts w:ascii="Calibri" w:hAnsi="Calibri"/>
                <w:sz w:val="22"/>
              </w:rPr>
              <w:t>$94.6</w:t>
            </w:r>
          </w:p>
        </w:tc>
        <w:tc>
          <w:tcPr>
            <w:tcW w:type="dxa" w:w="1234"/>
          </w:tcPr>
          <w:p>
            <w:r>
              <w:rPr>
                <w:rFonts w:ascii="Calibri" w:hAnsi="Calibri"/>
                <w:sz w:val="22"/>
              </w:rPr>
              <w:t>$71.5</w:t>
            </w:r>
          </w:p>
        </w:tc>
        <w:tc>
          <w:tcPr>
            <w:tcW w:type="dxa" w:w="1234"/>
          </w:tcPr>
          <w:p>
            <w:r>
              <w:rPr>
                <w:rFonts w:ascii="Calibri" w:hAnsi="Calibri"/>
                <w:sz w:val="22"/>
              </w:rPr>
              <w:t>$101.7</w:t>
            </w:r>
          </w:p>
        </w:tc>
        <w:tc>
          <w:tcPr>
            <w:tcW w:type="dxa" w:w="1234"/>
          </w:tcPr>
          <w:p>
            <w:r>
              <w:rPr>
                <w:rFonts w:ascii="Calibri" w:hAnsi="Calibri"/>
                <w:sz w:val="22"/>
              </w:rPr>
              <w:t>+42.3% YoY</w:t>
            </w:r>
          </w:p>
        </w:tc>
        <w:tc>
          <w:tcPr>
            <w:tcW w:type="dxa" w:w="1234"/>
          </w:tcPr>
          <w:p>
            <w:r>
              <w:rPr>
                <w:rFonts w:ascii="Calibri" w:hAnsi="Calibri"/>
                <w:sz w:val="22"/>
              </w:rPr>
              <w:t>≥50% CC growth (FY 2026)</w:t>
            </w:r>
          </w:p>
        </w:tc>
        <w:tc>
          <w:tcPr>
            <w:tcW w:type="dxa" w:w="1234"/>
          </w:tcPr>
          <w:p>
            <w:r>
              <w:rPr>
                <w:rFonts w:ascii="Calibri" w:hAnsi="Calibri"/>
                <w:sz w:val="22"/>
              </w:rPr>
              <w:t>Tracking / above pace</w:t>
            </w:r>
          </w:p>
        </w:tc>
      </w:tr>
      <w:tr>
        <w:tc>
          <w:tcPr>
            <w:tcW w:type="dxa" w:w="1234"/>
          </w:tcPr>
          <w:p>
            <w:r>
              <w:rPr>
                <w:rFonts w:ascii="Calibri" w:hAnsi="Calibri"/>
                <w:sz w:val="22"/>
              </w:rPr>
              <w:t>Delivery Revenue ($M)</w:t>
            </w:r>
          </w:p>
        </w:tc>
        <w:tc>
          <w:tcPr>
            <w:tcW w:type="dxa" w:w="1234"/>
          </w:tcPr>
          <w:p>
            <w:r>
              <w:rPr>
                <w:rFonts w:ascii="Calibri" w:hAnsi="Calibri"/>
                <w:sz w:val="22"/>
              </w:rPr>
              <w:t>$294.2</w:t>
            </w:r>
          </w:p>
        </w:tc>
        <w:tc>
          <w:tcPr>
            <w:tcW w:type="dxa" w:w="1234"/>
          </w:tcPr>
          <w:p>
            <w:r>
              <w:rPr>
                <w:rFonts w:ascii="Calibri" w:hAnsi="Calibri"/>
                <w:sz w:val="22"/>
              </w:rPr>
              <w:t>$320.1</w:t>
            </w:r>
          </w:p>
        </w:tc>
        <w:tc>
          <w:tcPr>
            <w:tcW w:type="dxa" w:w="1234"/>
          </w:tcPr>
          <w:p>
            <w:r>
              <w:rPr>
                <w:rFonts w:ascii="Calibri" w:hAnsi="Calibri"/>
                <w:sz w:val="22"/>
              </w:rPr>
              <w:t>$298.2</w:t>
            </w:r>
          </w:p>
        </w:tc>
        <w:tc>
          <w:tcPr>
            <w:tcW w:type="dxa" w:w="1234"/>
          </w:tcPr>
          <w:p>
            <w:r>
              <w:rPr>
                <w:rFonts w:ascii="Calibri" w:hAnsi="Calibri"/>
                <w:sz w:val="22"/>
              </w:rPr>
              <w:t>-6.8% YoY</w:t>
            </w:r>
          </w:p>
        </w:tc>
        <w:tc>
          <w:tcPr>
            <w:tcW w:type="dxa" w:w="1234"/>
          </w:tcPr>
          <w:p>
            <w:r>
              <w:rPr>
                <w:rFonts w:ascii="Calibri" w:hAnsi="Calibri"/>
                <w:sz w:val="22"/>
              </w:rPr>
              <w:t>Mid-single digit decline CC (FY)</w:t>
            </w:r>
          </w:p>
        </w:tc>
        <w:tc>
          <w:tcPr>
            <w:tcW w:type="dxa" w:w="1234"/>
          </w:tcPr>
          <w:p>
            <w:r>
              <w:rPr>
                <w:rFonts w:ascii="Calibri" w:hAnsi="Calibri"/>
                <w:sz w:val="22"/>
              </w:rPr>
              <w:t>Tracking guidance</w:t>
            </w:r>
          </w:p>
        </w:tc>
      </w:tr>
      <w:tr>
        <w:tc>
          <w:tcPr>
            <w:tcW w:type="dxa" w:w="1234"/>
          </w:tcPr>
          <w:p>
            <w:r>
              <w:rPr>
                <w:rFonts w:ascii="Calibri" w:hAnsi="Calibri"/>
                <w:sz w:val="22"/>
              </w:rPr>
              <w:t>Non-GAAP EPS (Diluted)</w:t>
            </w:r>
          </w:p>
        </w:tc>
        <w:tc>
          <w:tcPr>
            <w:tcW w:type="dxa" w:w="1234"/>
          </w:tcPr>
          <w:p>
            <w:r>
              <w:rPr>
                <w:rFonts w:ascii="Calibri" w:hAnsi="Calibri"/>
                <w:sz w:val="22"/>
              </w:rPr>
              <w:t>$1.61</w:t>
            </w:r>
          </w:p>
        </w:tc>
        <w:tc>
          <w:tcPr>
            <w:tcW w:type="dxa" w:w="1234"/>
          </w:tcPr>
          <w:p>
            <w:r>
              <w:rPr>
                <w:rFonts w:ascii="Calibri" w:hAnsi="Calibri"/>
                <w:sz w:val="22"/>
              </w:rPr>
              <w:t>$1.73</w:t>
            </w:r>
          </w:p>
        </w:tc>
        <w:tc>
          <w:tcPr>
            <w:tcW w:type="dxa" w:w="1234"/>
          </w:tcPr>
          <w:p>
            <w:r>
              <w:rPr>
                <w:rFonts w:ascii="Calibri" w:hAnsi="Calibri"/>
                <w:sz w:val="22"/>
              </w:rPr>
              <w:t>$1.58</w:t>
            </w:r>
          </w:p>
        </w:tc>
        <w:tc>
          <w:tcPr>
            <w:tcW w:type="dxa" w:w="1234"/>
          </w:tcPr>
          <w:p>
            <w:r>
              <w:rPr>
                <w:rFonts w:ascii="Calibri" w:hAnsi="Calibri"/>
                <w:sz w:val="22"/>
              </w:rPr>
              <w:t>-8.7% YoY</w:t>
            </w:r>
          </w:p>
        </w:tc>
        <w:tc>
          <w:tcPr>
            <w:tcW w:type="dxa" w:w="1234"/>
          </w:tcPr>
          <w:p>
            <w:r>
              <w:rPr>
                <w:rFonts w:ascii="Calibri" w:hAnsi="Calibri"/>
                <w:sz w:val="22"/>
              </w:rPr>
              <w:t>$1.45–$1.65</w:t>
            </w:r>
          </w:p>
        </w:tc>
        <w:tc>
          <w:tcPr>
            <w:tcW w:type="dxa" w:w="1234"/>
          </w:tcPr>
          <w:p>
            <w:r>
              <w:rPr>
                <w:rFonts w:ascii="Calibri" w:hAnsi="Calibri"/>
                <w:sz w:val="22"/>
              </w:rPr>
              <w:t>-0.8% vs. $1.55 mid</w:t>
            </w:r>
          </w:p>
        </w:tc>
      </w:tr>
      <w:tr>
        <w:tc>
          <w:tcPr>
            <w:tcW w:type="dxa" w:w="1234"/>
          </w:tcPr>
          <w:p>
            <w:r>
              <w:rPr>
                <w:rFonts w:ascii="Calibri" w:hAnsi="Calibri"/>
                <w:sz w:val="22"/>
              </w:rPr>
              <w:t>Non-GAAP Operating Income ($M)</w:t>
            </w:r>
          </w:p>
        </w:tc>
        <w:tc>
          <w:tcPr>
            <w:tcW w:type="dxa" w:w="1234"/>
          </w:tcPr>
          <w:p>
            <w:r>
              <w:rPr>
                <w:rFonts w:ascii="Calibri" w:hAnsi="Calibri"/>
                <w:sz w:val="22"/>
              </w:rPr>
              <w:t>$282.8</w:t>
            </w:r>
          </w:p>
        </w:tc>
        <w:tc>
          <w:tcPr>
            <w:tcW w:type="dxa" w:w="1234"/>
          </w:tcPr>
          <w:p>
            <w:r>
              <w:rPr>
                <w:rFonts w:ascii="Calibri" w:hAnsi="Calibri"/>
                <w:sz w:val="22"/>
              </w:rPr>
              <w:t>$308.6</w:t>
            </w:r>
          </w:p>
        </w:tc>
        <w:tc>
          <w:tcPr>
            <w:tcW w:type="dxa" w:w="1234"/>
          </w:tcPr>
          <w:p>
            <w:r>
              <w:rPr>
                <w:rFonts w:ascii="Calibri" w:hAnsi="Calibri"/>
                <w:sz w:val="22"/>
              </w:rPr>
              <w:t>$278.2</w:t>
            </w:r>
          </w:p>
        </w:tc>
        <w:tc>
          <w:tcPr>
            <w:tcW w:type="dxa" w:w="1234"/>
          </w:tcPr>
          <w:p>
            <w:r>
              <w:rPr>
                <w:rFonts w:ascii="Calibri" w:hAnsi="Calibri"/>
                <w:sz w:val="22"/>
              </w:rPr>
              <w:t>-9.9% YoY</w:t>
            </w:r>
          </w:p>
        </w:tc>
        <w:tc>
          <w:tcPr>
            <w:tcW w:type="dxa" w:w="1234"/>
          </w:tcPr>
          <w:p>
            <w:r>
              <w:rPr>
                <w:rFonts w:ascii="Calibri" w:hAnsi="Calibri"/>
                <w:sz w:val="22"/>
              </w:rPr>
              <w:t>~25–26% op. margin</w:t>
            </w:r>
          </w:p>
        </w:tc>
        <w:tc>
          <w:tcPr>
            <w:tcW w:type="dxa" w:w="1234"/>
          </w:tcPr>
          <w:p>
            <w:r>
              <w:rPr>
                <w:rFonts w:ascii="Calibri" w:hAnsi="Calibri"/>
                <w:sz w:val="22"/>
              </w:rPr>
              <w:t>Tracking guidance</w:t>
            </w:r>
          </w:p>
        </w:tc>
      </w:tr>
      <w:tr>
        <w:tc>
          <w:tcPr>
            <w:tcW w:type="dxa" w:w="1234"/>
          </w:tcPr>
          <w:p>
            <w:r>
              <w:rPr>
                <w:rFonts w:ascii="Calibri" w:hAnsi="Calibri"/>
                <w:sz w:val="22"/>
              </w:rPr>
              <w:t>Adjusted EBITDA ($M)</w:t>
            </w:r>
          </w:p>
        </w:tc>
        <w:tc>
          <w:tcPr>
            <w:tcW w:type="dxa" w:w="1234"/>
          </w:tcPr>
          <w:p>
            <w:r>
              <w:rPr>
                <w:rFonts w:ascii="Calibri" w:hAnsi="Calibri"/>
                <w:sz w:val="22"/>
              </w:rPr>
              <w:t>$426.7</w:t>
            </w:r>
          </w:p>
        </w:tc>
        <w:tc>
          <w:tcPr>
            <w:tcW w:type="dxa" w:w="1234"/>
          </w:tcPr>
          <w:p>
            <w:r>
              <w:rPr>
                <w:rFonts w:ascii="Calibri" w:hAnsi="Calibri"/>
                <w:sz w:val="22"/>
              </w:rPr>
              <w:t>$444.4</w:t>
            </w:r>
          </w:p>
        </w:tc>
        <w:tc>
          <w:tcPr>
            <w:tcW w:type="dxa" w:w="1234"/>
          </w:tcPr>
          <w:p>
            <w:r>
              <w:rPr>
                <w:rFonts w:ascii="Calibri" w:hAnsi="Calibri"/>
                <w:sz w:val="22"/>
              </w:rPr>
              <w:t>$422.6</w:t>
            </w:r>
          </w:p>
        </w:tc>
        <w:tc>
          <w:tcPr>
            <w:tcW w:type="dxa" w:w="1234"/>
          </w:tcPr>
          <w:p>
            <w:r>
              <w:rPr>
                <w:rFonts w:ascii="Calibri" w:hAnsi="Calibri"/>
                <w:sz w:val="22"/>
              </w:rPr>
              <w:t>-4.9% YoY</w:t>
            </w:r>
          </w:p>
        </w:tc>
        <w:tc>
          <w:tcPr>
            <w:tcW w:type="dxa" w:w="1234"/>
          </w:tcPr>
          <w:p>
            <w:r>
              <w:rPr>
                <w:rFonts w:ascii="Calibri" w:hAnsi="Calibri"/>
                <w:sz w:val="22"/>
              </w:rPr>
              <w:t>~38–39% EBITDA margin</w:t>
            </w:r>
          </w:p>
        </w:tc>
        <w:tc>
          <w:tcPr>
            <w:tcW w:type="dxa" w:w="1234"/>
          </w:tcPr>
          <w:p>
            <w:r>
              <w:rPr>
                <w:rFonts w:ascii="Calibri" w:hAnsi="Calibri"/>
                <w:sz w:val="22"/>
              </w:rPr>
              <w:t>Tracking guidance</w:t>
            </w:r>
          </w:p>
        </w:tc>
      </w:tr>
      <w:tr>
        <w:tc>
          <w:tcPr>
            <w:tcW w:type="dxa" w:w="1234"/>
          </w:tcPr>
          <w:p>
            <w:r>
              <w:rPr>
                <w:rFonts w:ascii="Calibri" w:hAnsi="Calibri"/>
                <w:sz w:val="22"/>
              </w:rPr>
              <w:t>CapEx — Accrual Basis ($M)</w:t>
            </w:r>
          </w:p>
        </w:tc>
        <w:tc>
          <w:tcPr>
            <w:tcW w:type="dxa" w:w="1234"/>
          </w:tcPr>
          <w:p>
            <w:r>
              <w:rPr>
                <w:rFonts w:ascii="Calibri" w:hAnsi="Calibri"/>
                <w:sz w:val="22"/>
              </w:rPr>
              <w:t>$118.9</w:t>
            </w:r>
          </w:p>
        </w:tc>
        <w:tc>
          <w:tcPr>
            <w:tcW w:type="dxa" w:w="1234"/>
          </w:tcPr>
          <w:p>
            <w:r>
              <w:rPr>
                <w:rFonts w:ascii="Calibri" w:hAnsi="Calibri"/>
                <w:sz w:val="22"/>
              </w:rPr>
              <w:t>$135.6</w:t>
            </w:r>
          </w:p>
        </w:tc>
        <w:tc>
          <w:tcPr>
            <w:tcW w:type="dxa" w:w="1234"/>
          </w:tcPr>
          <w:p>
            <w:r>
              <w:rPr>
                <w:rFonts w:ascii="Calibri" w:hAnsi="Calibri"/>
                <w:sz w:val="22"/>
              </w:rPr>
              <w:t>$269.0</w:t>
            </w:r>
          </w:p>
        </w:tc>
        <w:tc>
          <w:tcPr>
            <w:tcW w:type="dxa" w:w="1234"/>
          </w:tcPr>
          <w:p>
            <w:r>
              <w:rPr>
                <w:rFonts w:ascii="Calibri" w:hAnsi="Calibri"/>
                <w:sz w:val="22"/>
              </w:rPr>
              <w:t>+98.4% YoY</w:t>
            </w:r>
          </w:p>
        </w:tc>
        <w:tc>
          <w:tcPr>
            <w:tcW w:type="dxa" w:w="1234"/>
          </w:tcPr>
          <w:p>
            <w:r>
              <w:rPr>
                <w:rFonts w:ascii="Calibri" w:hAnsi="Calibri"/>
                <w:sz w:val="22"/>
              </w:rPr>
              <w:t>$433–$453M (cash basis)</w:t>
            </w:r>
          </w:p>
        </w:tc>
        <w:tc>
          <w:tcPr>
            <w:tcW w:type="dxa" w:w="1234"/>
          </w:tcPr>
          <w:p>
            <w:r>
              <w:rPr>
                <w:rFonts w:ascii="Calibri" w:hAnsi="Calibri"/>
                <w:sz w:val="22"/>
              </w:rPr>
              <w:t>N/A — accrual vs. cash timing</w:t>
            </w:r>
          </w:p>
        </w:tc>
      </w:tr>
      <w:tr>
        <w:tc>
          <w:tcPr>
            <w:tcW w:type="dxa" w:w="1234"/>
          </w:tcPr>
          <w:p>
            <w:r>
              <w:rPr>
                <w:rFonts w:ascii="Calibri" w:hAnsi="Calibri"/>
                <w:sz w:val="22"/>
              </w:rPr>
              <w:t>Free Cash Flow ($M)</w:t>
            </w:r>
          </w:p>
        </w:tc>
        <w:tc>
          <w:tcPr>
            <w:tcW w:type="dxa" w:w="1234"/>
          </w:tcPr>
          <w:p>
            <w:r>
              <w:rPr>
                <w:rFonts w:ascii="Calibri" w:hAnsi="Calibri"/>
                <w:sz w:val="22"/>
              </w:rPr>
              <w:t>$120.7</w:t>
            </w:r>
          </w:p>
        </w:tc>
        <w:tc>
          <w:tcPr>
            <w:tcW w:type="dxa" w:w="1234"/>
          </w:tcPr>
          <w:p>
            <w:r>
              <w:rPr>
                <w:rFonts w:ascii="Calibri" w:hAnsi="Calibri"/>
                <w:sz w:val="22"/>
              </w:rPr>
              <w:t>$235.4</w:t>
            </w:r>
          </w:p>
        </w:tc>
        <w:tc>
          <w:tcPr>
            <w:tcW w:type="dxa" w:w="1234"/>
          </w:tcPr>
          <w:p>
            <w:r>
              <w:rPr>
                <w:rFonts w:ascii="Calibri" w:hAnsi="Calibri"/>
                <w:sz w:val="22"/>
              </w:rPr>
              <w:t>$42.1</w:t>
            </w:r>
          </w:p>
        </w:tc>
        <w:tc>
          <w:tcPr>
            <w:tcW w:type="dxa" w:w="1234"/>
          </w:tcPr>
          <w:p>
            <w:r>
              <w:rPr>
                <w:rFonts w:ascii="Calibri" w:hAnsi="Calibri"/>
                <w:sz w:val="22"/>
              </w:rPr>
              <w:t>-82.1% YoY</w:t>
            </w:r>
          </w:p>
        </w:tc>
        <w:tc>
          <w:tcPr>
            <w:tcW w:type="dxa" w:w="1234"/>
          </w:tcPr>
          <w:p>
            <w:r>
              <w:rPr>
                <w:rFonts w:ascii="Calibri" w:hAnsi="Calibri"/>
                <w:sz w:val="22"/>
              </w:rPr>
              <w:t>Negative FY 2026 (CapEx surge)</w:t>
            </w:r>
          </w:p>
        </w:tc>
        <w:tc>
          <w:tcPr>
            <w:tcW w:type="dxa" w:w="1234"/>
          </w:tcPr>
          <w:p>
            <w:r>
              <w:rPr>
                <w:rFonts w:ascii="Calibri" w:hAnsi="Calibri"/>
                <w:sz w:val="22"/>
              </w:rPr>
              <w:t>Tracking guidance</w:t>
            </w:r>
          </w:p>
        </w:tc>
      </w:tr>
    </w:tbl>
    <w:p>
      <w:r>
        <w:rPr>
          <w:rFonts w:ascii="Calibri" w:hAnsi="Calibri"/>
          <w:i/>
          <w:color w:val="525866"/>
          <w:sz w:val="22"/>
        </w:rPr>
        <w:t>Source: Visible Alpha consensus and actuals data. All figures in USD millions unless noted. CIS = Cloud Infrastructure Services. CC = constant currency. Q2 2026 consensus as of August 5, 2026.</w:t>
      </w:r>
    </w:p>
    <w:p>
      <w:pPr>
        <w:pStyle w:val="Heading3"/>
      </w:pPr>
      <w:r>
        <w:rPr>
          <w:rFonts w:ascii="Calibri" w:hAnsi="Calibri"/>
          <w:b/>
          <w:color w:val="3B4259"/>
          <w:sz w:val="24"/>
        </w:rPr>
        <w:t>Table 2 — Beat/Miss History (Last 8 Quarters)</w:t>
      </w:r>
    </w:p>
    <w:p>
      <w:r>
        <w:rPr>
          <w:rFonts w:ascii="Calibri" w:hAnsi="Calibri"/>
          <w:b/>
          <w:color w:val="525866"/>
          <w:sz w:val="22"/>
        </w:rPr>
        <w:t>Top KPI #1: Total Revenue | Top KPI #2: Non-GAAP EPS (Diluted)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 ($M)</w:t>
            </w:r>
          </w:p>
        </w:tc>
        <w:tc>
          <w:tcPr>
            <w:tcW w:type="dxa" w:w="1080"/>
            <w:shd w:val="clear" w:color="auto" w:fill="3B4259"/>
          </w:tcPr>
          <w:p>
            <w:r>
              <w:rPr>
                <w:rFonts w:ascii="Calibri" w:hAnsi="Calibri"/>
                <w:b/>
                <w:color w:val="FFFFFF"/>
                <w:sz w:val="22"/>
              </w:rPr>
              <w:t>Revenue Consensus ($M)</w:t>
            </w:r>
          </w:p>
        </w:tc>
        <w:tc>
          <w:tcPr>
            <w:tcW w:type="dxa" w:w="1080"/>
            <w:shd w:val="clear" w:color="auto" w:fill="3B4259"/>
          </w:tcPr>
          <w:p>
            <w:r>
              <w:rPr>
                <w:rFonts w:ascii="Calibri" w:hAnsi="Calibri"/>
                <w:b/>
                <w:color w:val="FFFFFF"/>
                <w:sz w:val="22"/>
              </w:rPr>
              <w:t>Rev. Surprise %</w:t>
            </w:r>
          </w:p>
        </w:tc>
        <w:tc>
          <w:tcPr>
            <w:tcW w:type="dxa" w:w="1080"/>
            <w:shd w:val="clear" w:color="auto" w:fill="3B4259"/>
          </w:tcPr>
          <w:p>
            <w:r>
              <w:rPr>
                <w:rFonts w:ascii="Calibri" w:hAnsi="Calibri"/>
                <w:b/>
                <w:color w:val="FFFFFF"/>
                <w:sz w:val="22"/>
              </w:rPr>
              <w:t>EPS Reported</w:t>
            </w:r>
          </w:p>
        </w:tc>
        <w:tc>
          <w:tcPr>
            <w:tcW w:type="dxa" w:w="1080"/>
            <w:shd w:val="clear" w:color="auto" w:fill="3B4259"/>
          </w:tcPr>
          <w:p>
            <w:r>
              <w:rPr>
                <w:rFonts w:ascii="Calibri" w:hAnsi="Calibri"/>
                <w:b/>
                <w:color w:val="FFFFFF"/>
                <w:sz w:val="22"/>
              </w:rPr>
              <w:t>EPS Consensus</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$1,073.6</w:t>
            </w:r>
          </w:p>
        </w:tc>
        <w:tc>
          <w:tcPr>
            <w:tcW w:type="dxa" w:w="1080"/>
          </w:tcPr>
          <w:p>
            <w:r>
              <w:rPr>
                <w:rFonts w:ascii="Calibri" w:hAnsi="Calibri"/>
                <w:sz w:val="22"/>
              </w:rPr>
              <w:t>$1,073.9</w:t>
            </w:r>
          </w:p>
        </w:tc>
        <w:tc>
          <w:tcPr>
            <w:tcW w:type="dxa" w:w="1080"/>
          </w:tcPr>
          <w:p>
            <w:r>
              <w:rPr>
                <w:rFonts w:ascii="Calibri" w:hAnsi="Calibri"/>
                <w:sz w:val="22"/>
              </w:rPr>
              <w:t>0.0%</w:t>
            </w:r>
          </w:p>
        </w:tc>
        <w:tc>
          <w:tcPr>
            <w:tcW w:type="dxa" w:w="1080"/>
          </w:tcPr>
          <w:p>
            <w:r>
              <w:rPr>
                <w:rFonts w:ascii="Calibri" w:hAnsi="Calibri"/>
                <w:sz w:val="22"/>
              </w:rPr>
              <w:t>$1.61</w:t>
            </w:r>
          </w:p>
        </w:tc>
        <w:tc>
          <w:tcPr>
            <w:tcW w:type="dxa" w:w="1080"/>
          </w:tcPr>
          <w:p>
            <w:r>
              <w:rPr>
                <w:rFonts w:ascii="Calibri" w:hAnsi="Calibri"/>
                <w:sz w:val="22"/>
              </w:rPr>
              <w:t>$1.60</w:t>
            </w:r>
          </w:p>
        </w:tc>
        <w:tc>
          <w:tcPr>
            <w:tcW w:type="dxa" w:w="1080"/>
          </w:tcPr>
          <w:p>
            <w:r>
              <w:rPr>
                <w:rFonts w:ascii="Calibri" w:hAnsi="Calibri"/>
                <w:sz w:val="22"/>
              </w:rPr>
              <w:t>+0.6%</w:t>
            </w:r>
          </w:p>
        </w:tc>
        <w:tc>
          <w:tcPr>
            <w:tcW w:type="dxa" w:w="1080"/>
          </w:tcPr>
          <w:p>
            <w:r>
              <w:rPr>
                <w:rFonts w:ascii="Calibri" w:hAnsi="Calibri"/>
                <w:b/>
                <w:color w:val="002FA7"/>
                <w:sz w:val="22"/>
              </w:rPr>
              <w:t>In Line / In Line</w:t>
            </w:r>
          </w:p>
        </w:tc>
      </w:tr>
      <w:tr>
        <w:tc>
          <w:tcPr>
            <w:tcW w:type="dxa" w:w="1080"/>
          </w:tcPr>
          <w:p>
            <w:r>
              <w:rPr>
                <w:rFonts w:ascii="Calibri" w:hAnsi="Calibri"/>
                <w:sz w:val="22"/>
              </w:rPr>
              <w:t>Q4 2025</w:t>
            </w:r>
          </w:p>
        </w:tc>
        <w:tc>
          <w:tcPr>
            <w:tcW w:type="dxa" w:w="1080"/>
          </w:tcPr>
          <w:p>
            <w:r>
              <w:rPr>
                <w:rFonts w:ascii="Calibri" w:hAnsi="Calibri"/>
                <w:sz w:val="22"/>
              </w:rPr>
              <w:t>$1,094.9</w:t>
            </w:r>
          </w:p>
        </w:tc>
        <w:tc>
          <w:tcPr>
            <w:tcW w:type="dxa" w:w="1080"/>
          </w:tcPr>
          <w:p>
            <w:r>
              <w:rPr>
                <w:rFonts w:ascii="Calibri" w:hAnsi="Calibri"/>
                <w:sz w:val="22"/>
              </w:rPr>
              <w:t>$1,077.2</w:t>
            </w:r>
          </w:p>
        </w:tc>
        <w:tc>
          <w:tcPr>
            <w:tcW w:type="dxa" w:w="1080"/>
          </w:tcPr>
          <w:p>
            <w:r>
              <w:rPr>
                <w:rFonts w:ascii="Calibri" w:hAnsi="Calibri"/>
                <w:sz w:val="22"/>
              </w:rPr>
              <w:t>+1.6%</w:t>
            </w:r>
          </w:p>
        </w:tc>
        <w:tc>
          <w:tcPr>
            <w:tcW w:type="dxa" w:w="1080"/>
          </w:tcPr>
          <w:p>
            <w:r>
              <w:rPr>
                <w:rFonts w:ascii="Calibri" w:hAnsi="Calibri"/>
                <w:sz w:val="22"/>
              </w:rPr>
              <w:t>$1.84</w:t>
            </w:r>
          </w:p>
        </w:tc>
        <w:tc>
          <w:tcPr>
            <w:tcW w:type="dxa" w:w="1080"/>
          </w:tcPr>
          <w:p>
            <w:r>
              <w:rPr>
                <w:rFonts w:ascii="Calibri" w:hAnsi="Calibri"/>
                <w:sz w:val="22"/>
              </w:rPr>
              <w:t>$1.77</w:t>
            </w:r>
          </w:p>
        </w:tc>
        <w:tc>
          <w:tcPr>
            <w:tcW w:type="dxa" w:w="1080"/>
          </w:tcPr>
          <w:p>
            <w:r>
              <w:rPr>
                <w:rFonts w:ascii="Calibri" w:hAnsi="Calibri"/>
                <w:sz w:val="22"/>
              </w:rPr>
              <w:t>+4.0%</w:t>
            </w:r>
          </w:p>
        </w:tc>
        <w:tc>
          <w:tcPr>
            <w:tcW w:type="dxa" w:w="1080"/>
          </w:tcPr>
          <w:p>
            <w:r>
              <w:rPr>
                <w:rFonts w:ascii="Calibri" w:hAnsi="Calibri"/>
                <w:b/>
                <w:color w:val="30A46C"/>
                <w:sz w:val="22"/>
              </w:rPr>
              <w:t>Beat / Beat</w:t>
            </w:r>
          </w:p>
        </w:tc>
      </w:tr>
      <w:tr>
        <w:tc>
          <w:tcPr>
            <w:tcW w:type="dxa" w:w="1080"/>
          </w:tcPr>
          <w:p>
            <w:r>
              <w:rPr>
                <w:rFonts w:ascii="Calibri" w:hAnsi="Calibri"/>
                <w:sz w:val="22"/>
              </w:rPr>
              <w:t>Q3 2025</w:t>
            </w:r>
          </w:p>
        </w:tc>
        <w:tc>
          <w:tcPr>
            <w:tcW w:type="dxa" w:w="1080"/>
          </w:tcPr>
          <w:p>
            <w:r>
              <w:rPr>
                <w:rFonts w:ascii="Calibri" w:hAnsi="Calibri"/>
                <w:sz w:val="22"/>
              </w:rPr>
              <w:t>$1,054.6</w:t>
            </w:r>
          </w:p>
        </w:tc>
        <w:tc>
          <w:tcPr>
            <w:tcW w:type="dxa" w:w="1080"/>
          </w:tcPr>
          <w:p>
            <w:r>
              <w:rPr>
                <w:rFonts w:ascii="Calibri" w:hAnsi="Calibri"/>
                <w:sz w:val="22"/>
              </w:rPr>
              <w:t>$1,044.0</w:t>
            </w:r>
          </w:p>
        </w:tc>
        <w:tc>
          <w:tcPr>
            <w:tcW w:type="dxa" w:w="1080"/>
          </w:tcPr>
          <w:p>
            <w:r>
              <w:rPr>
                <w:rFonts w:ascii="Calibri" w:hAnsi="Calibri"/>
                <w:sz w:val="22"/>
              </w:rPr>
              <w:t>+1.0%</w:t>
            </w:r>
          </w:p>
        </w:tc>
        <w:tc>
          <w:tcPr>
            <w:tcW w:type="dxa" w:w="1080"/>
          </w:tcPr>
          <w:p>
            <w:r>
              <w:rPr>
                <w:rFonts w:ascii="Calibri" w:hAnsi="Calibri"/>
                <w:sz w:val="22"/>
              </w:rPr>
              <w:t>$1.86</w:t>
            </w:r>
          </w:p>
        </w:tc>
        <w:tc>
          <w:tcPr>
            <w:tcW w:type="dxa" w:w="1080"/>
          </w:tcPr>
          <w:p>
            <w:r>
              <w:rPr>
                <w:rFonts w:ascii="Calibri" w:hAnsi="Calibri"/>
                <w:sz w:val="22"/>
              </w:rPr>
              <w:t>$1.64</w:t>
            </w:r>
          </w:p>
        </w:tc>
        <w:tc>
          <w:tcPr>
            <w:tcW w:type="dxa" w:w="1080"/>
          </w:tcPr>
          <w:p>
            <w:r>
              <w:rPr>
                <w:rFonts w:ascii="Calibri" w:hAnsi="Calibri"/>
                <w:sz w:val="22"/>
              </w:rPr>
              <w:t>+13.4%</w:t>
            </w:r>
          </w:p>
        </w:tc>
        <w:tc>
          <w:tcPr>
            <w:tcW w:type="dxa" w:w="1080"/>
          </w:tcPr>
          <w:p>
            <w:r>
              <w:rPr>
                <w:rFonts w:ascii="Calibri" w:hAnsi="Calibri"/>
                <w:b/>
                <w:color w:val="30A46C"/>
                <w:sz w:val="22"/>
              </w:rPr>
              <w:t>Beat / Beat</w:t>
            </w:r>
          </w:p>
        </w:tc>
      </w:tr>
      <w:tr>
        <w:tc>
          <w:tcPr>
            <w:tcW w:type="dxa" w:w="1080"/>
          </w:tcPr>
          <w:p>
            <w:r>
              <w:rPr>
                <w:rFonts w:ascii="Calibri" w:hAnsi="Calibri"/>
                <w:sz w:val="22"/>
              </w:rPr>
              <w:t>Q2 2025</w:t>
            </w:r>
          </w:p>
        </w:tc>
        <w:tc>
          <w:tcPr>
            <w:tcW w:type="dxa" w:w="1080"/>
          </w:tcPr>
          <w:p>
            <w:r>
              <w:rPr>
                <w:rFonts w:ascii="Calibri" w:hAnsi="Calibri"/>
                <w:sz w:val="22"/>
              </w:rPr>
              <w:t>$1,043.5</w:t>
            </w:r>
          </w:p>
        </w:tc>
        <w:tc>
          <w:tcPr>
            <w:tcW w:type="dxa" w:w="1080"/>
          </w:tcPr>
          <w:p>
            <w:r>
              <w:rPr>
                <w:rFonts w:ascii="Calibri" w:hAnsi="Calibri"/>
                <w:sz w:val="22"/>
              </w:rPr>
              <w:t>$1,020.8</w:t>
            </w:r>
          </w:p>
        </w:tc>
        <w:tc>
          <w:tcPr>
            <w:tcW w:type="dxa" w:w="1080"/>
          </w:tcPr>
          <w:p>
            <w:r>
              <w:rPr>
                <w:rFonts w:ascii="Calibri" w:hAnsi="Calibri"/>
                <w:sz w:val="22"/>
              </w:rPr>
              <w:t>+2.2%</w:t>
            </w:r>
          </w:p>
        </w:tc>
        <w:tc>
          <w:tcPr>
            <w:tcW w:type="dxa" w:w="1080"/>
          </w:tcPr>
          <w:p>
            <w:r>
              <w:rPr>
                <w:rFonts w:ascii="Calibri" w:hAnsi="Calibri"/>
                <w:sz w:val="22"/>
              </w:rPr>
              <w:t>$1.73</w:t>
            </w:r>
          </w:p>
        </w:tc>
        <w:tc>
          <w:tcPr>
            <w:tcW w:type="dxa" w:w="1080"/>
          </w:tcPr>
          <w:p>
            <w:r>
              <w:rPr>
                <w:rFonts w:ascii="Calibri" w:hAnsi="Calibri"/>
                <w:sz w:val="22"/>
              </w:rPr>
              <w:t>$1.56</w:t>
            </w:r>
          </w:p>
        </w:tc>
        <w:tc>
          <w:tcPr>
            <w:tcW w:type="dxa" w:w="1080"/>
          </w:tcPr>
          <w:p>
            <w:r>
              <w:rPr>
                <w:rFonts w:ascii="Calibri" w:hAnsi="Calibri"/>
                <w:sz w:val="22"/>
              </w:rPr>
              <w:t>+10.9%</w:t>
            </w:r>
          </w:p>
        </w:tc>
        <w:tc>
          <w:tcPr>
            <w:tcW w:type="dxa" w:w="1080"/>
          </w:tcPr>
          <w:p>
            <w:r>
              <w:rPr>
                <w:rFonts w:ascii="Calibri" w:hAnsi="Calibri"/>
                <w:b/>
                <w:color w:val="30A46C"/>
                <w:sz w:val="22"/>
              </w:rPr>
              <w:t>Beat / Beat</w:t>
            </w:r>
          </w:p>
        </w:tc>
      </w:tr>
      <w:tr>
        <w:tc>
          <w:tcPr>
            <w:tcW w:type="dxa" w:w="1080"/>
          </w:tcPr>
          <w:p>
            <w:r>
              <w:rPr>
                <w:rFonts w:ascii="Calibri" w:hAnsi="Calibri"/>
                <w:sz w:val="22"/>
              </w:rPr>
              <w:t>Q1 2025</w:t>
            </w:r>
          </w:p>
        </w:tc>
        <w:tc>
          <w:tcPr>
            <w:tcW w:type="dxa" w:w="1080"/>
          </w:tcPr>
          <w:p>
            <w:r>
              <w:rPr>
                <w:rFonts w:ascii="Calibri" w:hAnsi="Calibri"/>
                <w:sz w:val="22"/>
              </w:rPr>
              <w:t>$1,015.1</w:t>
            </w:r>
          </w:p>
        </w:tc>
        <w:tc>
          <w:tcPr>
            <w:tcW w:type="dxa" w:w="1080"/>
          </w:tcPr>
          <w:p>
            <w:r>
              <w:rPr>
                <w:rFonts w:ascii="Calibri" w:hAnsi="Calibri"/>
                <w:sz w:val="22"/>
              </w:rPr>
              <w:t>$1,012.0</w:t>
            </w:r>
          </w:p>
        </w:tc>
        <w:tc>
          <w:tcPr>
            <w:tcW w:type="dxa" w:w="1080"/>
          </w:tcPr>
          <w:p>
            <w:r>
              <w:rPr>
                <w:rFonts w:ascii="Calibri" w:hAnsi="Calibri"/>
                <w:sz w:val="22"/>
              </w:rPr>
              <w:t>+0.3%</w:t>
            </w:r>
          </w:p>
        </w:tc>
        <w:tc>
          <w:tcPr>
            <w:tcW w:type="dxa" w:w="1080"/>
          </w:tcPr>
          <w:p>
            <w:r>
              <w:rPr>
                <w:rFonts w:ascii="Calibri" w:hAnsi="Calibri"/>
                <w:sz w:val="22"/>
              </w:rPr>
              <w:t>$1.70</w:t>
            </w:r>
          </w:p>
        </w:tc>
        <w:tc>
          <w:tcPr>
            <w:tcW w:type="dxa" w:w="1080"/>
          </w:tcPr>
          <w:p>
            <w:r>
              <w:rPr>
                <w:rFonts w:ascii="Calibri" w:hAnsi="Calibri"/>
                <w:sz w:val="22"/>
              </w:rPr>
              <w:t>$1.57</w:t>
            </w:r>
          </w:p>
        </w:tc>
        <w:tc>
          <w:tcPr>
            <w:tcW w:type="dxa" w:w="1080"/>
          </w:tcPr>
          <w:p>
            <w:r>
              <w:rPr>
                <w:rFonts w:ascii="Calibri" w:hAnsi="Calibri"/>
                <w:sz w:val="22"/>
              </w:rPr>
              <w:t>+8.3%</w:t>
            </w:r>
          </w:p>
        </w:tc>
        <w:tc>
          <w:tcPr>
            <w:tcW w:type="dxa" w:w="1080"/>
          </w:tcPr>
          <w:p>
            <w:r>
              <w:rPr>
                <w:rFonts w:ascii="Calibri" w:hAnsi="Calibri"/>
                <w:b/>
                <w:color w:val="30A46C"/>
                <w:sz w:val="22"/>
              </w:rPr>
              <w:t>In Line / Beat</w:t>
            </w:r>
          </w:p>
        </w:tc>
      </w:tr>
      <w:tr>
        <w:tc>
          <w:tcPr>
            <w:tcW w:type="dxa" w:w="1080"/>
          </w:tcPr>
          <w:p>
            <w:r>
              <w:rPr>
                <w:rFonts w:ascii="Calibri" w:hAnsi="Calibri"/>
                <w:sz w:val="22"/>
              </w:rPr>
              <w:t>Q4 2024</w:t>
            </w:r>
          </w:p>
        </w:tc>
        <w:tc>
          <w:tcPr>
            <w:tcW w:type="dxa" w:w="1080"/>
          </w:tcPr>
          <w:p>
            <w:r>
              <w:rPr>
                <w:rFonts w:ascii="Calibri" w:hAnsi="Calibri"/>
                <w:sz w:val="22"/>
              </w:rPr>
              <w:t>$1,019.9</w:t>
            </w:r>
          </w:p>
        </w:tc>
        <w:tc>
          <w:tcPr>
            <w:tcW w:type="dxa" w:w="1080"/>
          </w:tcPr>
          <w:p>
            <w:r>
              <w:rPr>
                <w:rFonts w:ascii="Calibri" w:hAnsi="Calibri"/>
                <w:sz w:val="22"/>
              </w:rPr>
              <w:t>$1,015.9</w:t>
            </w:r>
          </w:p>
        </w:tc>
        <w:tc>
          <w:tcPr>
            <w:tcW w:type="dxa" w:w="1080"/>
          </w:tcPr>
          <w:p>
            <w:r>
              <w:rPr>
                <w:rFonts w:ascii="Calibri" w:hAnsi="Calibri"/>
                <w:sz w:val="22"/>
              </w:rPr>
              <w:t>+0.4%</w:t>
            </w:r>
          </w:p>
        </w:tc>
        <w:tc>
          <w:tcPr>
            <w:tcW w:type="dxa" w:w="1080"/>
          </w:tcPr>
          <w:p>
            <w:r>
              <w:rPr>
                <w:rFonts w:ascii="Calibri" w:hAnsi="Calibri"/>
                <w:sz w:val="22"/>
              </w:rPr>
              <w:t>$1.66</w:t>
            </w:r>
          </w:p>
        </w:tc>
        <w:tc>
          <w:tcPr>
            <w:tcW w:type="dxa" w:w="1080"/>
          </w:tcPr>
          <w:p>
            <w:r>
              <w:rPr>
                <w:rFonts w:ascii="Calibri" w:hAnsi="Calibri"/>
                <w:sz w:val="22"/>
              </w:rPr>
              <w:t>$1.52</w:t>
            </w:r>
          </w:p>
        </w:tc>
        <w:tc>
          <w:tcPr>
            <w:tcW w:type="dxa" w:w="1080"/>
          </w:tcPr>
          <w:p>
            <w:r>
              <w:rPr>
                <w:rFonts w:ascii="Calibri" w:hAnsi="Calibri"/>
                <w:sz w:val="22"/>
              </w:rPr>
              <w:t>+9.2%</w:t>
            </w:r>
          </w:p>
        </w:tc>
        <w:tc>
          <w:tcPr>
            <w:tcW w:type="dxa" w:w="1080"/>
          </w:tcPr>
          <w:p>
            <w:r>
              <w:rPr>
                <w:rFonts w:ascii="Calibri" w:hAnsi="Calibri"/>
                <w:b/>
                <w:color w:val="30A46C"/>
                <w:sz w:val="22"/>
              </w:rPr>
              <w:t>In Line / Beat</w:t>
            </w:r>
          </w:p>
        </w:tc>
      </w:tr>
      <w:tr>
        <w:tc>
          <w:tcPr>
            <w:tcW w:type="dxa" w:w="1080"/>
          </w:tcPr>
          <w:p>
            <w:r>
              <w:rPr>
                <w:rFonts w:ascii="Calibri" w:hAnsi="Calibri"/>
                <w:sz w:val="22"/>
              </w:rPr>
              <w:t>Q3 2024</w:t>
            </w:r>
          </w:p>
        </w:tc>
        <w:tc>
          <w:tcPr>
            <w:tcW w:type="dxa" w:w="1080"/>
          </w:tcPr>
          <w:p>
            <w:r>
              <w:rPr>
                <w:rFonts w:ascii="Calibri" w:hAnsi="Calibri"/>
                <w:sz w:val="22"/>
              </w:rPr>
              <w:t>$1,004.7</w:t>
            </w:r>
          </w:p>
        </w:tc>
        <w:tc>
          <w:tcPr>
            <w:tcW w:type="dxa" w:w="1080"/>
          </w:tcPr>
          <w:p>
            <w:r>
              <w:rPr>
                <w:rFonts w:ascii="Calibri" w:hAnsi="Calibri"/>
                <w:sz w:val="22"/>
              </w:rPr>
              <w:t>$1,000.4</w:t>
            </w:r>
          </w:p>
        </w:tc>
        <w:tc>
          <w:tcPr>
            <w:tcW w:type="dxa" w:w="1080"/>
          </w:tcPr>
          <w:p>
            <w:r>
              <w:rPr>
                <w:rFonts w:ascii="Calibri" w:hAnsi="Calibri"/>
                <w:sz w:val="22"/>
              </w:rPr>
              <w:t>+0.4%</w:t>
            </w:r>
          </w:p>
        </w:tc>
        <w:tc>
          <w:tcPr>
            <w:tcW w:type="dxa" w:w="1080"/>
          </w:tcPr>
          <w:p>
            <w:r>
              <w:rPr>
                <w:rFonts w:ascii="Calibri" w:hAnsi="Calibri"/>
                <w:sz w:val="22"/>
              </w:rPr>
              <w:t>$1.59</w:t>
            </w:r>
          </w:p>
        </w:tc>
        <w:tc>
          <w:tcPr>
            <w:tcW w:type="dxa" w:w="1080"/>
          </w:tcPr>
          <w:p>
            <w:r>
              <w:rPr>
                <w:rFonts w:ascii="Calibri" w:hAnsi="Calibri"/>
                <w:sz w:val="22"/>
              </w:rPr>
              <w:t>$1.59</w:t>
            </w:r>
          </w:p>
        </w:tc>
        <w:tc>
          <w:tcPr>
            <w:tcW w:type="dxa" w:w="1080"/>
          </w:tcPr>
          <w:p>
            <w:r>
              <w:rPr>
                <w:rFonts w:ascii="Calibri" w:hAnsi="Calibri"/>
                <w:sz w:val="22"/>
              </w:rPr>
              <w:t>0.0%</w:t>
            </w:r>
          </w:p>
        </w:tc>
        <w:tc>
          <w:tcPr>
            <w:tcW w:type="dxa" w:w="1080"/>
          </w:tcPr>
          <w:p>
            <w:r>
              <w:rPr>
                <w:rFonts w:ascii="Calibri" w:hAnsi="Calibri"/>
                <w:b/>
                <w:color w:val="002FA7"/>
                <w:sz w:val="22"/>
              </w:rPr>
              <w:t>In Line / In Line</w:t>
            </w:r>
          </w:p>
        </w:tc>
      </w:tr>
      <w:tr>
        <w:tc>
          <w:tcPr>
            <w:tcW w:type="dxa" w:w="1080"/>
          </w:tcPr>
          <w:p>
            <w:r>
              <w:rPr>
                <w:rFonts w:ascii="Calibri" w:hAnsi="Calibri"/>
                <w:sz w:val="22"/>
              </w:rPr>
              <w:t>Q2 2024</w:t>
            </w:r>
          </w:p>
        </w:tc>
        <w:tc>
          <w:tcPr>
            <w:tcW w:type="dxa" w:w="1080"/>
          </w:tcPr>
          <w:p>
            <w:r>
              <w:rPr>
                <w:rFonts w:ascii="Calibri" w:hAnsi="Calibri"/>
                <w:sz w:val="22"/>
              </w:rPr>
              <w:t>$979.6</w:t>
            </w:r>
          </w:p>
        </w:tc>
        <w:tc>
          <w:tcPr>
            <w:tcW w:type="dxa" w:w="1080"/>
          </w:tcPr>
          <w:p>
            <w:r>
              <w:rPr>
                <w:rFonts w:ascii="Calibri" w:hAnsi="Calibri"/>
                <w:sz w:val="22"/>
              </w:rPr>
              <w:t>$977.5</w:t>
            </w:r>
          </w:p>
        </w:tc>
        <w:tc>
          <w:tcPr>
            <w:tcW w:type="dxa" w:w="1080"/>
          </w:tcPr>
          <w:p>
            <w:r>
              <w:rPr>
                <w:rFonts w:ascii="Calibri" w:hAnsi="Calibri"/>
                <w:sz w:val="22"/>
              </w:rPr>
              <w:t>+0.2%</w:t>
            </w:r>
          </w:p>
        </w:tc>
        <w:tc>
          <w:tcPr>
            <w:tcW w:type="dxa" w:w="1080"/>
          </w:tcPr>
          <w:p>
            <w:r>
              <w:rPr>
                <w:rFonts w:ascii="Calibri" w:hAnsi="Calibri"/>
                <w:sz w:val="22"/>
              </w:rPr>
              <w:t>$1.58</w:t>
            </w:r>
          </w:p>
        </w:tc>
        <w:tc>
          <w:tcPr>
            <w:tcW w:type="dxa" w:w="1080"/>
          </w:tcPr>
          <w:p>
            <w:r>
              <w:rPr>
                <w:rFonts w:ascii="Calibri" w:hAnsi="Calibri"/>
                <w:sz w:val="22"/>
              </w:rPr>
              <w:t>$1.53</w:t>
            </w:r>
          </w:p>
        </w:tc>
        <w:tc>
          <w:tcPr>
            <w:tcW w:type="dxa" w:w="1080"/>
          </w:tcPr>
          <w:p>
            <w:r>
              <w:rPr>
                <w:rFonts w:ascii="Calibri" w:hAnsi="Calibri"/>
                <w:sz w:val="22"/>
              </w:rPr>
              <w:t>+3.3%</w:t>
            </w:r>
          </w:p>
        </w:tc>
        <w:tc>
          <w:tcPr>
            <w:tcW w:type="dxa" w:w="1080"/>
          </w:tcPr>
          <w:p>
            <w:r>
              <w:rPr>
                <w:rFonts w:ascii="Calibri" w:hAnsi="Calibri"/>
                <w:b/>
                <w:color w:val="30A46C"/>
                <w:sz w:val="22"/>
              </w:rPr>
              <w:t>In Line / Beat</w:t>
            </w:r>
          </w:p>
        </w:tc>
      </w:tr>
    </w:tbl>
    <w:p>
      <w:r>
        <w:rPr>
          <w:rFonts w:ascii="Calibri" w:hAnsi="Calibri"/>
          <w:i/>
          <w:color w:val="525866"/>
          <w:sz w:val="22"/>
        </w:rPr>
        <w:t xml:space="preserve">Source: Visible Alpha consensus and actuals data. </w:t>
      </w:r>
      <w:r>
        <w:rPr>
          <w:rFonts w:ascii="Calibri" w:hAnsi="Calibri"/>
          <w:b/>
          <w:color w:val="525866"/>
          <w:sz w:val="22"/>
        </w:rPr>
        <w:t xml:space="preserve">Pattern: </w:t>
      </w:r>
      <w:r>
        <w:rPr>
          <w:rFonts w:ascii="Calibri" w:hAnsi="Calibri"/>
          <w:i/>
          <w:color w:val="525866"/>
          <w:sz w:val="22"/>
        </w:rPr>
        <w:t>AKAM has a strong track record of beating or meeting revenue consensus (8 for 8 over the last 8 quarters), while EPS beats have been consistent and often material — the exception being Q1 2026 where the wide guidance range and CapEx surge compressed the beat to near-zero. The Q2 2026 EPS bar is the lowest in 8 quarters ($1.58 consensus vs. $1.73 a year ago), reflecting the market's acknowledgment of margin headwinds from the GPU build-out.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posture has shifted to highly confident since the Q1 print, with the $2.6B convertible note offering (May 18) representing a material post-earnings capital action that signals conviction in the CIS demand pipeline; no formal guidance revision has been issued, but the financing action implicitly validates the upper end of the CapEx and growth outlook.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$1,075–$1,100M (+3–5% YoY)</w:t>
            </w:r>
          </w:p>
        </w:tc>
        <w:tc>
          <w:tcPr>
            <w:tcW w:type="dxa" w:w="1728"/>
          </w:tcPr>
          <w:p>
            <w:r>
              <w:rPr>
                <w:rFonts w:ascii="Calibri" w:hAnsi="Calibri"/>
                <w:sz w:val="22"/>
              </w:rPr>
              <w:t>—</w:t>
            </w:r>
          </w:p>
        </w:tc>
        <w:tc>
          <w:tcPr>
            <w:tcW w:type="dxa" w:w="1728"/>
          </w:tcPr>
          <w:p>
            <w:r>
              <w:rPr>
                <w:rFonts w:ascii="Calibri" w:hAnsi="Calibri"/>
                <w:sz w:val="22"/>
              </w:rPr>
              <w:t>$1,093.1M</w:t>
            </w:r>
          </w:p>
        </w:tc>
        <w:tc>
          <w:tcPr>
            <w:tcW w:type="dxa" w:w="1728"/>
          </w:tcPr>
          <w:p>
            <w:r>
              <w:rPr>
                <w:rFonts w:ascii="Calibri" w:hAnsi="Calibri"/>
                <w:sz w:val="22"/>
              </w:rPr>
              <w:t>Unchanged; consensus sits near high end of range</w:t>
            </w:r>
          </w:p>
        </w:tc>
      </w:tr>
      <w:tr>
        <w:tc>
          <w:tcPr>
            <w:tcW w:type="dxa" w:w="1728"/>
          </w:tcPr>
          <w:p>
            <w:r>
              <w:rPr>
                <w:rFonts w:ascii="Calibri" w:hAnsi="Calibri"/>
                <w:sz w:val="22"/>
              </w:rPr>
              <w:t>Q2 2026 Non-GAAP EPS</w:t>
            </w:r>
          </w:p>
        </w:tc>
        <w:tc>
          <w:tcPr>
            <w:tcW w:type="dxa" w:w="1728"/>
          </w:tcPr>
          <w:p>
            <w:r>
              <w:rPr>
                <w:rFonts w:ascii="Calibri" w:hAnsi="Calibri"/>
                <w:sz w:val="22"/>
              </w:rPr>
              <w:t>$1.45–$1.65</w:t>
            </w:r>
          </w:p>
        </w:tc>
        <w:tc>
          <w:tcPr>
            <w:tcW w:type="dxa" w:w="1728"/>
          </w:tcPr>
          <w:p>
            <w:r>
              <w:rPr>
                <w:rFonts w:ascii="Calibri" w:hAnsi="Calibri"/>
                <w:sz w:val="22"/>
              </w:rPr>
              <w:t>—</w:t>
            </w:r>
          </w:p>
        </w:tc>
        <w:tc>
          <w:tcPr>
            <w:tcW w:type="dxa" w:w="1728"/>
          </w:tcPr>
          <w:p>
            <w:r>
              <w:rPr>
                <w:rFonts w:ascii="Calibri" w:hAnsi="Calibri"/>
                <w:sz w:val="22"/>
              </w:rPr>
              <w:t>$1.58</w:t>
            </w:r>
          </w:p>
        </w:tc>
        <w:tc>
          <w:tcPr>
            <w:tcW w:type="dxa" w:w="1728"/>
          </w:tcPr>
          <w:p>
            <w:r>
              <w:rPr>
                <w:rFonts w:ascii="Calibri" w:hAnsi="Calibri"/>
                <w:sz w:val="22"/>
              </w:rPr>
              <w:t>Unchanged; wide range reflects GPU depreciation timing uncertainty</w:t>
            </w:r>
          </w:p>
        </w:tc>
      </w:tr>
      <w:tr>
        <w:tc>
          <w:tcPr>
            <w:tcW w:type="dxa" w:w="1728"/>
          </w:tcPr>
          <w:p>
            <w:r>
              <w:rPr>
                <w:rFonts w:ascii="Calibri" w:hAnsi="Calibri"/>
                <w:sz w:val="22"/>
              </w:rPr>
              <w:t>Q2 2026 Non-GAAP Op. Margin</w:t>
            </w:r>
          </w:p>
        </w:tc>
        <w:tc>
          <w:tcPr>
            <w:tcW w:type="dxa" w:w="1728"/>
          </w:tcPr>
          <w:p>
            <w:r>
              <w:rPr>
                <w:rFonts w:ascii="Calibri" w:hAnsi="Calibri"/>
                <w:sz w:val="22"/>
              </w:rPr>
              <w:t>~25–26%</w:t>
            </w:r>
          </w:p>
        </w:tc>
        <w:tc>
          <w:tcPr>
            <w:tcW w:type="dxa" w:w="1728"/>
          </w:tcPr>
          <w:p>
            <w:r>
              <w:rPr>
                <w:rFonts w:ascii="Calibri" w:hAnsi="Calibri"/>
                <w:sz w:val="22"/>
              </w:rPr>
              <w:t>—</w:t>
            </w:r>
          </w:p>
        </w:tc>
        <w:tc>
          <w:tcPr>
            <w:tcW w:type="dxa" w:w="1728"/>
          </w:tcPr>
          <w:p>
            <w:r>
              <w:rPr>
                <w:rFonts w:ascii="Calibri" w:hAnsi="Calibri"/>
                <w:sz w:val="22"/>
              </w:rPr>
              <w:t>~25.4% (implied by consensus)</w:t>
            </w:r>
          </w:p>
        </w:tc>
        <w:tc>
          <w:tcPr>
            <w:tcW w:type="dxa" w:w="1728"/>
          </w:tcPr>
          <w:p>
            <w:r>
              <w:rPr>
                <w:rFonts w:ascii="Calibri" w:hAnsi="Calibri"/>
                <w:sz w:val="22"/>
              </w:rPr>
              <w:t>Unchanged; significant step-down from ~26.3% in Q1</w:t>
            </w:r>
          </w:p>
        </w:tc>
      </w:tr>
      <w:tr>
        <w:tc>
          <w:tcPr>
            <w:tcW w:type="dxa" w:w="1728"/>
          </w:tcPr>
          <w:p>
            <w:r>
              <w:rPr>
                <w:rFonts w:ascii="Calibri" w:hAnsi="Calibri"/>
                <w:sz w:val="22"/>
              </w:rPr>
              <w:t>Q2 2026 CapEx (Cash Basis)</w:t>
            </w:r>
          </w:p>
        </w:tc>
        <w:tc>
          <w:tcPr>
            <w:tcW w:type="dxa" w:w="1728"/>
          </w:tcPr>
          <w:p>
            <w:r>
              <w:rPr>
                <w:rFonts w:ascii="Calibri" w:hAnsi="Calibri"/>
                <w:sz w:val="22"/>
              </w:rPr>
              <w:t>$433–$453M (~40–41% of revenue)</w:t>
            </w:r>
          </w:p>
        </w:tc>
        <w:tc>
          <w:tcPr>
            <w:tcW w:type="dxa" w:w="1728"/>
          </w:tcPr>
          <w:p>
            <w:r>
              <w:rPr>
                <w:rFonts w:ascii="Calibri" w:hAnsi="Calibri"/>
                <w:sz w:val="22"/>
              </w:rPr>
              <w:t>—</w:t>
            </w:r>
          </w:p>
        </w:tc>
        <w:tc>
          <w:tcPr>
            <w:tcW w:type="dxa" w:w="1728"/>
          </w:tcPr>
          <w:p>
            <w:r>
              <w:rPr>
                <w:rFonts w:ascii="Calibri" w:hAnsi="Calibri"/>
                <w:sz w:val="22"/>
              </w:rPr>
              <w:t>$269M (accrual basis consensus)</w:t>
            </w:r>
          </w:p>
        </w:tc>
        <w:tc>
          <w:tcPr>
            <w:tcW w:type="dxa" w:w="1728"/>
          </w:tcPr>
          <w:p>
            <w:r>
              <w:rPr>
                <w:rFonts w:ascii="Calibri" w:hAnsi="Calibri"/>
                <w:sz w:val="22"/>
              </w:rPr>
              <w:t>Unchanged; Q2 CapEx jump driven by NVIDIA GPU deliveries beginning + Q1 timing catch-up</w:t>
            </w:r>
          </w:p>
        </w:tc>
      </w:tr>
      <w:tr>
        <w:tc>
          <w:tcPr>
            <w:tcW w:type="dxa" w:w="1728"/>
          </w:tcPr>
          <w:p>
            <w:r>
              <w:rPr>
                <w:rFonts w:ascii="Calibri" w:hAnsi="Calibri"/>
                <w:sz w:val="22"/>
              </w:rPr>
              <w:t>FY 2026 Revenue</w:t>
            </w:r>
          </w:p>
        </w:tc>
        <w:tc>
          <w:tcPr>
            <w:tcW w:type="dxa" w:w="1728"/>
          </w:tcPr>
          <w:p>
            <w:r>
              <w:rPr>
                <w:rFonts w:ascii="Calibri" w:hAnsi="Calibri"/>
                <w:sz w:val="22"/>
              </w:rPr>
              <w:t>$4,445–$4,550M (+6–8% YoY)</w:t>
            </w:r>
          </w:p>
        </w:tc>
        <w:tc>
          <w:tcPr>
            <w:tcW w:type="dxa" w:w="1728"/>
          </w:tcPr>
          <w:p>
            <w:r>
              <w:rPr>
                <w:rFonts w:ascii="Calibri" w:hAnsi="Calibri"/>
                <w:sz w:val="22"/>
              </w:rPr>
              <w:t>—</w:t>
            </w:r>
          </w:p>
        </w:tc>
        <w:tc>
          <w:tcPr>
            <w:tcW w:type="dxa" w:w="1728"/>
          </w:tcPr>
          <w:p>
            <w:r>
              <w:rPr>
                <w:rFonts w:ascii="Calibri" w:hAnsi="Calibri"/>
                <w:sz w:val="22"/>
              </w:rPr>
              <w:t>$4,501.3M</w:t>
            </w:r>
          </w:p>
        </w:tc>
        <w:tc>
          <w:tcPr>
            <w:tcW w:type="dxa" w:w="1728"/>
          </w:tcPr>
          <w:p>
            <w:r>
              <w:rPr>
                <w:rFonts w:ascii="Calibri" w:hAnsi="Calibri"/>
                <w:sz w:val="22"/>
              </w:rPr>
              <w:t>Unchanged; consensus near midpoint</w:t>
            </w:r>
          </w:p>
        </w:tc>
      </w:tr>
      <w:tr>
        <w:tc>
          <w:tcPr>
            <w:tcW w:type="dxa" w:w="1728"/>
          </w:tcPr>
          <w:p>
            <w:r>
              <w:rPr>
                <w:rFonts w:ascii="Calibri" w:hAnsi="Calibri"/>
                <w:sz w:val="22"/>
              </w:rPr>
              <w:t>FY 2026 Non-GAAP EPS</w:t>
            </w:r>
          </w:p>
        </w:tc>
        <w:tc>
          <w:tcPr>
            <w:tcW w:type="dxa" w:w="1728"/>
          </w:tcPr>
          <w:p>
            <w:r>
              <w:rPr>
                <w:rFonts w:ascii="Calibri" w:hAnsi="Calibri"/>
                <w:sz w:val="22"/>
              </w:rPr>
              <w:t>$6.40–$7.15</w:t>
            </w:r>
          </w:p>
        </w:tc>
        <w:tc>
          <w:tcPr>
            <w:tcW w:type="dxa" w:w="1728"/>
          </w:tcPr>
          <w:p>
            <w:r>
              <w:rPr>
                <w:rFonts w:ascii="Calibri" w:hAnsi="Calibri"/>
                <w:sz w:val="22"/>
              </w:rPr>
              <w:t>—</w:t>
            </w:r>
          </w:p>
        </w:tc>
        <w:tc>
          <w:tcPr>
            <w:tcW w:type="dxa" w:w="1728"/>
          </w:tcPr>
          <w:p>
            <w:r>
              <w:rPr>
                <w:rFonts w:ascii="Calibri" w:hAnsi="Calibri"/>
                <w:sz w:val="22"/>
              </w:rPr>
              <w:t>$6.69</w:t>
            </w:r>
          </w:p>
        </w:tc>
        <w:tc>
          <w:tcPr>
            <w:tcW w:type="dxa" w:w="1728"/>
          </w:tcPr>
          <w:p>
            <w:r>
              <w:rPr>
                <w:rFonts w:ascii="Calibri" w:hAnsi="Calibri"/>
                <w:sz w:val="22"/>
              </w:rPr>
              <w:t>Unchanged; wide range reflects depreciation timing; consensus near midpoint</w:t>
            </w:r>
          </w:p>
        </w:tc>
      </w:tr>
      <w:tr>
        <w:tc>
          <w:tcPr>
            <w:tcW w:type="dxa" w:w="1728"/>
          </w:tcPr>
          <w:p>
            <w:r>
              <w:rPr>
                <w:rFonts w:ascii="Calibri" w:hAnsi="Calibri"/>
                <w:sz w:val="22"/>
              </w:rPr>
              <w:t>FY 2026 CIS Revenue Growth</w:t>
            </w:r>
          </w:p>
        </w:tc>
        <w:tc>
          <w:tcPr>
            <w:tcW w:type="dxa" w:w="1728"/>
          </w:tcPr>
          <w:p>
            <w:r>
              <w:rPr>
                <w:rFonts w:ascii="Calibri" w:hAnsi="Calibri"/>
                <w:sz w:val="22"/>
              </w:rPr>
              <w:t>≥50% YoY CC (raised from 45–50%)</w:t>
            </w:r>
          </w:p>
        </w:tc>
        <w:tc>
          <w:tcPr>
            <w:tcW w:type="dxa" w:w="1728"/>
          </w:tcPr>
          <w:p>
            <w:r>
              <w:rPr>
                <w:rFonts w:ascii="Calibri" w:hAnsi="Calibri"/>
                <w:sz w:val="22"/>
              </w:rPr>
              <w:t>—</w:t>
            </w:r>
          </w:p>
        </w:tc>
        <w:tc>
          <w:tcPr>
            <w:tcW w:type="dxa" w:w="1728"/>
          </w:tcPr>
          <w:p>
            <w:r>
              <w:rPr>
                <w:rFonts w:ascii="Calibri" w:hAnsi="Calibri"/>
                <w:sz w:val="22"/>
              </w:rPr>
              <w:t>~$475M FY (implied ~50%+ growth)</w:t>
            </w:r>
          </w:p>
        </w:tc>
        <w:tc>
          <w:tcPr>
            <w:tcW w:type="dxa" w:w="1728"/>
          </w:tcPr>
          <w:p>
            <w:r>
              <w:rPr>
                <w:rFonts w:ascii="Calibri" w:hAnsi="Calibri"/>
                <w:sz w:val="22"/>
              </w:rPr>
              <w:t>Raised at Q1 earnings; driven by $1.8B deal ramp in H2 2026</w:t>
            </w:r>
          </w:p>
        </w:tc>
      </w:tr>
      <w:tr>
        <w:tc>
          <w:tcPr>
            <w:tcW w:type="dxa" w:w="1728"/>
          </w:tcPr>
          <w:p>
            <w:r>
              <w:rPr>
                <w:rFonts w:ascii="Calibri" w:hAnsi="Calibri"/>
                <w:sz w:val="22"/>
              </w:rPr>
              <w:t>FY 2026 CapEx (% of Revenue)</w:t>
            </w:r>
          </w:p>
        </w:tc>
        <w:tc>
          <w:tcPr>
            <w:tcW w:type="dxa" w:w="1728"/>
          </w:tcPr>
          <w:p>
            <w:r>
              <w:rPr>
                <w:rFonts w:ascii="Calibri" w:hAnsi="Calibri"/>
                <w:sz w:val="22"/>
              </w:rPr>
              <w:t>~40–42% of revenue (raised from 23–26%)</w:t>
            </w:r>
          </w:p>
        </w:tc>
        <w:tc>
          <w:tcPr>
            <w:tcW w:type="dxa" w:w="1728"/>
          </w:tcPr>
          <w:p>
            <w:r>
              <w:rPr>
                <w:rFonts w:ascii="Calibri" w:hAnsi="Calibri"/>
                <w:sz w:val="22"/>
              </w:rPr>
              <w:t>—</w:t>
            </w:r>
          </w:p>
        </w:tc>
        <w:tc>
          <w:tcPr>
            <w:tcW w:type="dxa" w:w="1728"/>
          </w:tcPr>
          <w:p>
            <w:r>
              <w:rPr>
                <w:rFonts w:ascii="Calibri" w:hAnsi="Calibri"/>
                <w:sz w:val="22"/>
              </w:rPr>
              <w:t>~$594.6M (accrual basis consensus)</w:t>
            </w:r>
          </w:p>
        </w:tc>
        <w:tc>
          <w:tcPr>
            <w:tcW w:type="dxa" w:w="1728"/>
          </w:tcPr>
          <w:p>
            <w:r>
              <w:rPr>
                <w:rFonts w:ascii="Calibri" w:hAnsi="Calibri"/>
                <w:sz w:val="22"/>
              </w:rPr>
              <w:t>↑ Dramatically raised at Q1 earnings; $700M of $1.8B deal CapEx in H2 2026</w:t>
            </w:r>
          </w:p>
        </w:tc>
      </w:tr>
      <w:tr>
        <w:tc>
          <w:tcPr>
            <w:tcW w:type="dxa" w:w="1728"/>
          </w:tcPr>
          <w:p>
            <w:r>
              <w:rPr>
                <w:rFonts w:ascii="Calibri" w:hAnsi="Calibri"/>
                <w:sz w:val="22"/>
              </w:rPr>
              <w:t>FY 2026 Non-GAAP Op. Margin</w:t>
            </w:r>
          </w:p>
        </w:tc>
        <w:tc>
          <w:tcPr>
            <w:tcW w:type="dxa" w:w="1728"/>
          </w:tcPr>
          <w:p>
            <w:r>
              <w:rPr>
                <w:rFonts w:ascii="Calibri" w:hAnsi="Calibri"/>
                <w:sz w:val="22"/>
              </w:rPr>
              <w:t>~26% (narrowed from 26–28%)</w:t>
            </w:r>
          </w:p>
        </w:tc>
        <w:tc>
          <w:tcPr>
            <w:tcW w:type="dxa" w:w="1728"/>
          </w:tcPr>
          <w:p>
            <w:r>
              <w:rPr>
                <w:rFonts w:ascii="Calibri" w:hAnsi="Calibri"/>
                <w:sz w:val="22"/>
              </w:rPr>
              <w:t>—</w:t>
            </w:r>
          </w:p>
        </w:tc>
        <w:tc>
          <w:tcPr>
            <w:tcW w:type="dxa" w:w="1728"/>
          </w:tcPr>
          <w:p>
            <w:r>
              <w:rPr>
                <w:rFonts w:ascii="Calibri" w:hAnsi="Calibri"/>
                <w:sz w:val="22"/>
              </w:rPr>
              <w:t>~26% (implied)</w:t>
            </w:r>
          </w:p>
        </w:tc>
        <w:tc>
          <w:tcPr>
            <w:tcW w:type="dxa" w:w="1728"/>
          </w:tcPr>
          <w:p>
            <w:r>
              <w:rPr>
                <w:rFonts w:ascii="Calibri" w:hAnsi="Calibri"/>
                <w:sz w:val="22"/>
              </w:rPr>
              <w:t>↓ Narrowed at Q1 earnings; investing ahead of revenue for CIS build-out</w:t>
            </w:r>
          </w:p>
        </w:tc>
      </w:tr>
      <w:tr>
        <w:tc>
          <w:tcPr>
            <w:tcW w:type="dxa" w:w="1728"/>
          </w:tcPr>
          <w:p>
            <w:r>
              <w:rPr>
                <w:rFonts w:ascii="Calibri" w:hAnsi="Calibri"/>
                <w:sz w:val="22"/>
              </w:rPr>
              <w:t>Capital Structure</w:t>
            </w:r>
          </w:p>
        </w:tc>
        <w:tc>
          <w:tcPr>
            <w:tcW w:type="dxa" w:w="1728"/>
          </w:tcPr>
          <w:p>
            <w:r>
              <w:rPr>
                <w:rFonts w:ascii="Calibri" w:hAnsi="Calibri"/>
                <w:sz w:val="22"/>
              </w:rPr>
              <w:t>$1.7B cash + $1B credit facility (as of Q1)</w:t>
            </w:r>
          </w:p>
        </w:tc>
        <w:tc>
          <w:tcPr>
            <w:tcW w:type="dxa" w:w="1728"/>
          </w:tcPr>
          <w:p>
            <w:r>
              <w:rPr>
                <w:rFonts w:ascii="Calibri" w:hAnsi="Calibri"/>
                <w:sz w:val="22"/>
              </w:rPr>
              <w:t>$2.6B convertible note offering (May 18, 2026)</w:t>
            </w:r>
          </w:p>
        </w:tc>
        <w:tc>
          <w:tcPr>
            <w:tcW w:type="dxa" w:w="1728"/>
          </w:tcPr>
          <w:p>
            <w:r>
              <w:rPr>
                <w:rFonts w:ascii="Calibri" w:hAnsi="Calibri"/>
                <w:sz w:val="22"/>
              </w:rPr>
              <w:t>N/A</w:t>
            </w:r>
          </w:p>
        </w:tc>
        <w:tc>
          <w:tcPr>
            <w:tcW w:type="dxa" w:w="1728"/>
          </w:tcPr>
          <w:p>
            <w:r>
              <w:rPr>
                <w:rFonts w:ascii="Calibri" w:hAnsi="Calibri"/>
                <w:sz w:val="22"/>
              </w:rPr>
              <w:t>↑ Post-earnings capital action; proceeds fund CIS CapEx + ~$350M share buyback</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post-Q1 baseline — the street has largely anchored to management's guidance midpoints rather than diverging — but the wide EPS range means the consensus estimate carries more uncertainty than the number alone suggests; CIS revenue estimates are tracking at or above the ≥50% growth guidance pace.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Mid</w:t>
            </w:r>
          </w:p>
        </w:tc>
      </w:tr>
      <w:tr>
        <w:tc>
          <w:tcPr>
            <w:tcW w:type="dxa" w:w="1080"/>
          </w:tcPr>
          <w:p>
            <w:r>
              <w:rPr>
                <w:rFonts w:ascii="Calibri" w:hAnsi="Calibri"/>
                <w:sz w:val="22"/>
              </w:rPr>
              <w:t>Total Revenue — Q2 2026</w:t>
            </w:r>
          </w:p>
        </w:tc>
        <w:tc>
          <w:tcPr>
            <w:tcW w:type="dxa" w:w="1080"/>
          </w:tcPr>
          <w:p>
            <w:r>
              <w:rPr>
                <w:rFonts w:ascii="Calibri" w:hAnsi="Calibri"/>
                <w:sz w:val="22"/>
              </w:rPr>
              <w:t>$1,093.1M</w:t>
            </w:r>
          </w:p>
        </w:tc>
        <w:tc>
          <w:tcPr>
            <w:tcW w:type="dxa" w:w="1080"/>
          </w:tcPr>
          <w:p>
            <w:r>
              <w:rPr>
                <w:rFonts w:ascii="Calibri" w:hAnsi="Calibri"/>
                <w:sz w:val="22"/>
              </w:rPr>
              <w:t>$1,093.1M</w:t>
            </w:r>
          </w:p>
        </w:tc>
        <w:tc>
          <w:tcPr>
            <w:tcW w:type="dxa" w:w="1080"/>
          </w:tcPr>
          <w:p>
            <w:r>
              <w:rPr>
                <w:rFonts w:ascii="Calibri" w:hAnsi="Calibri"/>
                <w:sz w:val="22"/>
              </w:rPr>
              <w:t>0.0%</w:t>
            </w:r>
          </w:p>
        </w:tc>
        <w:tc>
          <w:tcPr>
            <w:tcW w:type="dxa" w:w="1080"/>
          </w:tcPr>
          <w:p>
            <w:r>
              <w:rPr>
                <w:rFonts w:ascii="Calibri" w:hAnsi="Calibri"/>
                <w:sz w:val="22"/>
              </w:rPr>
              <w:t>$1,075–$1,100M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vs. mid</w:t>
            </w:r>
          </w:p>
        </w:tc>
      </w:tr>
      <w:tr>
        <w:tc>
          <w:tcPr>
            <w:tcW w:type="dxa" w:w="1080"/>
          </w:tcPr>
          <w:p>
            <w:r>
              <w:rPr>
                <w:rFonts w:ascii="Calibri" w:hAnsi="Calibri"/>
                <w:sz w:val="22"/>
              </w:rPr>
              <w:t>Total Revenue — FY 2026</w:t>
            </w:r>
          </w:p>
        </w:tc>
        <w:tc>
          <w:tcPr>
            <w:tcW w:type="dxa" w:w="1080"/>
          </w:tcPr>
          <w:p>
            <w:r>
              <w:rPr>
                <w:rFonts w:ascii="Calibri" w:hAnsi="Calibri"/>
                <w:sz w:val="22"/>
              </w:rPr>
              <w:t>$4,500.5M</w:t>
            </w:r>
          </w:p>
        </w:tc>
        <w:tc>
          <w:tcPr>
            <w:tcW w:type="dxa" w:w="1080"/>
          </w:tcPr>
          <w:p>
            <w:r>
              <w:rPr>
                <w:rFonts w:ascii="Calibri" w:hAnsi="Calibri"/>
                <w:sz w:val="22"/>
              </w:rPr>
              <w:t>$4,501.3M</w:t>
            </w:r>
          </w:p>
        </w:tc>
        <w:tc>
          <w:tcPr>
            <w:tcW w:type="dxa" w:w="1080"/>
          </w:tcPr>
          <w:p>
            <w:r>
              <w:rPr>
                <w:rFonts w:ascii="Calibri" w:hAnsi="Calibri"/>
                <w:sz w:val="22"/>
              </w:rPr>
              <w:t>+0.0%</w:t>
            </w:r>
          </w:p>
        </w:tc>
        <w:tc>
          <w:tcPr>
            <w:tcW w:type="dxa" w:w="1080"/>
          </w:tcPr>
          <w:p>
            <w:r>
              <w:rPr>
                <w:rFonts w:ascii="Calibri" w:hAnsi="Calibri"/>
                <w:sz w:val="22"/>
              </w:rPr>
              <w:t>$4,445–$4,550M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vs. mid</w:t>
            </w:r>
          </w:p>
        </w:tc>
      </w:tr>
      <w:tr>
        <w:tc>
          <w:tcPr>
            <w:tcW w:type="dxa" w:w="1080"/>
          </w:tcPr>
          <w:p>
            <w:r>
              <w:rPr>
                <w:rFonts w:ascii="Calibri" w:hAnsi="Calibri"/>
                <w:sz w:val="22"/>
              </w:rPr>
              <w:t>Non-GAAP EPS — Q2 2026</w:t>
            </w:r>
          </w:p>
        </w:tc>
        <w:tc>
          <w:tcPr>
            <w:tcW w:type="dxa" w:w="1080"/>
          </w:tcPr>
          <w:p>
            <w:r>
              <w:rPr>
                <w:rFonts w:ascii="Calibri" w:hAnsi="Calibri"/>
                <w:sz w:val="22"/>
              </w:rPr>
              <w:t>$1.59</w:t>
            </w:r>
          </w:p>
        </w:tc>
        <w:tc>
          <w:tcPr>
            <w:tcW w:type="dxa" w:w="1080"/>
          </w:tcPr>
          <w:p>
            <w:r>
              <w:rPr>
                <w:rFonts w:ascii="Calibri" w:hAnsi="Calibri"/>
                <w:sz w:val="22"/>
              </w:rPr>
              <w:t>$1.58</w:t>
            </w:r>
          </w:p>
        </w:tc>
        <w:tc>
          <w:tcPr>
            <w:tcW w:type="dxa" w:w="1080"/>
          </w:tcPr>
          <w:p>
            <w:r>
              <w:rPr>
                <w:rFonts w:ascii="Calibri" w:hAnsi="Calibri"/>
                <w:sz w:val="22"/>
              </w:rPr>
              <w:t>-0.6%</w:t>
            </w:r>
          </w:p>
        </w:tc>
        <w:tc>
          <w:tcPr>
            <w:tcW w:type="dxa" w:w="1080"/>
          </w:tcPr>
          <w:p>
            <w:r>
              <w:rPr>
                <w:rFonts w:ascii="Calibri" w:hAnsi="Calibri"/>
                <w:sz w:val="22"/>
              </w:rPr>
              <w:t>$1.45–$1.65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+1.9% vs. mid ($1.55)</w:t>
            </w:r>
          </w:p>
        </w:tc>
      </w:tr>
      <w:tr>
        <w:tc>
          <w:tcPr>
            <w:tcW w:type="dxa" w:w="1080"/>
          </w:tcPr>
          <w:p>
            <w:r>
              <w:rPr>
                <w:rFonts w:ascii="Calibri" w:hAnsi="Calibri"/>
                <w:sz w:val="22"/>
              </w:rPr>
              <w:t>Non-GAAP EPS — FY 2026</w:t>
            </w:r>
          </w:p>
        </w:tc>
        <w:tc>
          <w:tcPr>
            <w:tcW w:type="dxa" w:w="1080"/>
          </w:tcPr>
          <w:p>
            <w:r>
              <w:rPr>
                <w:rFonts w:ascii="Calibri" w:hAnsi="Calibri"/>
                <w:sz w:val="22"/>
              </w:rPr>
              <w:t>$6.68</w:t>
            </w:r>
          </w:p>
        </w:tc>
        <w:tc>
          <w:tcPr>
            <w:tcW w:type="dxa" w:w="1080"/>
          </w:tcPr>
          <w:p>
            <w:r>
              <w:rPr>
                <w:rFonts w:ascii="Calibri" w:hAnsi="Calibri"/>
                <w:sz w:val="22"/>
              </w:rPr>
              <w:t>$6.69</w:t>
            </w:r>
          </w:p>
        </w:tc>
        <w:tc>
          <w:tcPr>
            <w:tcW w:type="dxa" w:w="1080"/>
          </w:tcPr>
          <w:p>
            <w:r>
              <w:rPr>
                <w:rFonts w:ascii="Calibri" w:hAnsi="Calibri"/>
                <w:sz w:val="22"/>
              </w:rPr>
              <w:t>+0.1%</w:t>
            </w:r>
          </w:p>
        </w:tc>
        <w:tc>
          <w:tcPr>
            <w:tcW w:type="dxa" w:w="1080"/>
          </w:tcPr>
          <w:p>
            <w:r>
              <w:rPr>
                <w:rFonts w:ascii="Calibri" w:hAnsi="Calibri"/>
                <w:sz w:val="22"/>
              </w:rPr>
              <w:t>$6.40–$7.15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vs. mid ($6.775)</w:t>
            </w:r>
          </w:p>
        </w:tc>
      </w:tr>
      <w:tr>
        <w:tc>
          <w:tcPr>
            <w:tcW w:type="dxa" w:w="1080"/>
          </w:tcPr>
          <w:p>
            <w:r>
              <w:rPr>
                <w:rFonts w:ascii="Calibri" w:hAnsi="Calibri"/>
                <w:sz w:val="22"/>
              </w:rPr>
              <w:t>CIS Revenue — Q2 2026</w:t>
            </w:r>
          </w:p>
        </w:tc>
        <w:tc>
          <w:tcPr>
            <w:tcW w:type="dxa" w:w="1080"/>
          </w:tcPr>
          <w:p>
            <w:r>
              <w:rPr>
                <w:rFonts w:ascii="Calibri" w:hAnsi="Calibri"/>
                <w:sz w:val="22"/>
              </w:rPr>
              <w:t>$102.0M</w:t>
            </w:r>
          </w:p>
        </w:tc>
        <w:tc>
          <w:tcPr>
            <w:tcW w:type="dxa" w:w="1080"/>
          </w:tcPr>
          <w:p>
            <w:r>
              <w:rPr>
                <w:rFonts w:ascii="Calibri" w:hAnsi="Calibri"/>
                <w:sz w:val="22"/>
              </w:rPr>
              <w:t>$101.7M</w:t>
            </w:r>
          </w:p>
        </w:tc>
        <w:tc>
          <w:tcPr>
            <w:tcW w:type="dxa" w:w="1080"/>
          </w:tcPr>
          <w:p>
            <w:r>
              <w:rPr>
                <w:rFonts w:ascii="Calibri" w:hAnsi="Calibri"/>
                <w:sz w:val="22"/>
              </w:rPr>
              <w:t>-0.3%</w:t>
            </w:r>
          </w:p>
        </w:tc>
        <w:tc>
          <w:tcPr>
            <w:tcW w:type="dxa" w:w="1080"/>
          </w:tcPr>
          <w:p>
            <w:r>
              <w:rPr>
                <w:rFonts w:ascii="Calibri" w:hAnsi="Calibri"/>
                <w:sz w:val="22"/>
              </w:rPr>
              <w:t>≥50% CC growth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~42% YoY — tracking to FY pace</w:t>
            </w:r>
          </w:p>
        </w:tc>
      </w:tr>
      <w:tr>
        <w:tc>
          <w:tcPr>
            <w:tcW w:type="dxa" w:w="1080"/>
          </w:tcPr>
          <w:p>
            <w:r>
              <w:rPr>
                <w:rFonts w:ascii="Calibri" w:hAnsi="Calibri"/>
                <w:sz w:val="22"/>
              </w:rPr>
              <w:t>CIS Revenue — FY 2026</w:t>
            </w:r>
          </w:p>
        </w:tc>
        <w:tc>
          <w:tcPr>
            <w:tcW w:type="dxa" w:w="1080"/>
          </w:tcPr>
          <w:p>
            <w:r>
              <w:rPr>
                <w:rFonts w:ascii="Calibri" w:hAnsi="Calibri"/>
                <w:sz w:val="22"/>
              </w:rPr>
              <w:t>$474.9M</w:t>
            </w:r>
          </w:p>
        </w:tc>
        <w:tc>
          <w:tcPr>
            <w:tcW w:type="dxa" w:w="1080"/>
          </w:tcPr>
          <w:p>
            <w:r>
              <w:rPr>
                <w:rFonts w:ascii="Calibri" w:hAnsi="Calibri"/>
                <w:sz w:val="22"/>
              </w:rPr>
              <w:t>$475.2M</w:t>
            </w:r>
          </w:p>
        </w:tc>
        <w:tc>
          <w:tcPr>
            <w:tcW w:type="dxa" w:w="1080"/>
          </w:tcPr>
          <w:p>
            <w:r>
              <w:rPr>
                <w:rFonts w:ascii="Calibri" w:hAnsi="Calibri"/>
                <w:sz w:val="22"/>
              </w:rPr>
              <w:t>+0.1%</w:t>
            </w:r>
          </w:p>
        </w:tc>
        <w:tc>
          <w:tcPr>
            <w:tcW w:type="dxa" w:w="1080"/>
          </w:tcPr>
          <w:p>
            <w:r>
              <w:rPr>
                <w:rFonts w:ascii="Calibri" w:hAnsi="Calibri"/>
                <w:sz w:val="22"/>
              </w:rPr>
              <w:t>≥50% CC growth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~50%+ YoY — at/above guidance floor</w:t>
            </w:r>
          </w:p>
        </w:tc>
      </w:tr>
      <w:tr>
        <w:tc>
          <w:tcPr>
            <w:tcW w:type="dxa" w:w="1080"/>
          </w:tcPr>
          <w:p>
            <w:r>
              <w:rPr>
                <w:rFonts w:ascii="Calibri" w:hAnsi="Calibri"/>
                <w:sz w:val="22"/>
              </w:rPr>
              <w:t>Non-GAAP Op. Income — Q2 2026</w:t>
            </w:r>
          </w:p>
        </w:tc>
        <w:tc>
          <w:tcPr>
            <w:tcW w:type="dxa" w:w="1080"/>
          </w:tcPr>
          <w:p>
            <w:r>
              <w:rPr>
                <w:rFonts w:ascii="Calibri" w:hAnsi="Calibri"/>
                <w:sz w:val="22"/>
              </w:rPr>
              <w:t>$278.6M</w:t>
            </w:r>
          </w:p>
        </w:tc>
        <w:tc>
          <w:tcPr>
            <w:tcW w:type="dxa" w:w="1080"/>
          </w:tcPr>
          <w:p>
            <w:r>
              <w:rPr>
                <w:rFonts w:ascii="Calibri" w:hAnsi="Calibri"/>
                <w:sz w:val="22"/>
              </w:rPr>
              <w:t>$278.2M</w:t>
            </w:r>
          </w:p>
        </w:tc>
        <w:tc>
          <w:tcPr>
            <w:tcW w:type="dxa" w:w="1080"/>
          </w:tcPr>
          <w:p>
            <w:r>
              <w:rPr>
                <w:rFonts w:ascii="Calibri" w:hAnsi="Calibri"/>
                <w:sz w:val="22"/>
              </w:rPr>
              <w:t>-0.1%</w:t>
            </w:r>
          </w:p>
        </w:tc>
        <w:tc>
          <w:tcPr>
            <w:tcW w:type="dxa" w:w="1080"/>
          </w:tcPr>
          <w:p>
            <w:r>
              <w:rPr>
                <w:rFonts w:ascii="Calibri" w:hAnsi="Calibri"/>
                <w:sz w:val="22"/>
              </w:rPr>
              <w:t>~25–26%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~25.4% — tracking guidance</w:t>
            </w:r>
          </w:p>
        </w:tc>
      </w:tr>
      <w:tr>
        <w:tc>
          <w:tcPr>
            <w:tcW w:type="dxa" w:w="1080"/>
          </w:tcPr>
          <w:p>
            <w:r>
              <w:rPr>
                <w:rFonts w:ascii="Calibri" w:hAnsi="Calibri"/>
                <w:sz w:val="22"/>
              </w:rPr>
              <w:t>Free Cash Flow — FY 2026</w:t>
            </w:r>
          </w:p>
        </w:tc>
        <w:tc>
          <w:tcPr>
            <w:tcW w:type="dxa" w:w="1080"/>
          </w:tcPr>
          <w:p>
            <w:r>
              <w:rPr>
                <w:rFonts w:ascii="Calibri" w:hAnsi="Calibri"/>
                <w:sz w:val="22"/>
              </w:rPr>
              <w:t>-$68.3M</w:t>
            </w:r>
          </w:p>
        </w:tc>
        <w:tc>
          <w:tcPr>
            <w:tcW w:type="dxa" w:w="1080"/>
          </w:tcPr>
          <w:p>
            <w:r>
              <w:rPr>
                <w:rFonts w:ascii="Calibri" w:hAnsi="Calibri"/>
                <w:sz w:val="22"/>
              </w:rPr>
              <w:t>-$85.5M</w:t>
            </w:r>
          </w:p>
        </w:tc>
        <w:tc>
          <w:tcPr>
            <w:tcW w:type="dxa" w:w="1080"/>
          </w:tcPr>
          <w:p>
            <w:r>
              <w:rPr>
                <w:rFonts w:ascii="Calibri" w:hAnsi="Calibri"/>
                <w:sz w:val="22"/>
              </w:rPr>
              <w:t>-25.1%</w:t>
            </w:r>
          </w:p>
        </w:tc>
        <w:tc>
          <w:tcPr>
            <w:tcW w:type="dxa" w:w="1080"/>
          </w:tcPr>
          <w:p>
            <w:r>
              <w:rPr>
                <w:rFonts w:ascii="Calibri" w:hAnsi="Calibri"/>
                <w:sz w:val="22"/>
              </w:rPr>
              <w:t>Negative (CapEx surge)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FCF estimates drifting more negative</w:t>
            </w:r>
          </w:p>
        </w:tc>
      </w:tr>
    </w:tbl>
    <w:p>
      <w:r>
        <w:rPr>
          <w:rFonts w:ascii="Calibri" w:hAnsi="Calibri"/>
          <w:i/>
          <w:color w:val="525866"/>
          <w:sz w:val="22"/>
        </w:rPr>
        <w:t xml:space="preserve">Source: Visible Alpha consensus and actuals data. Post-Q1 baseline as of May 12, 2026 (5 trading days after May 7 earnings). </w:t>
      </w:r>
      <w:r>
        <w:rPr>
          <w:rFonts w:ascii="Calibri" w:hAnsi="Calibri"/>
          <w:b/>
          <w:color w:val="525866"/>
          <w:sz w:val="22"/>
        </w:rPr>
        <w:t xml:space="preserve">Commentary: </w:t>
      </w:r>
      <w:r>
        <w:rPr>
          <w:rFonts w:ascii="Calibri" w:hAnsi="Calibri"/>
          <w:i/>
          <w:color w:val="525866"/>
          <w:sz w:val="22"/>
        </w:rPr>
        <w:t>The near-zero estimate revisions since the Q1 print reflect the street's acceptance of management's guidance framework. The key risk is that the wide EPS range ($1.45–$1.65) means a $0.10 miss vs. consensus is still within guidance — the market may react more to the qualitative commentary on GPU delivery progress and H2 CIS ramp than to the headline EPS number itself.</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AKAM surged ~27% on the Q1 earnings day (May 8) driven entirely by the $1.8B CIS deal announcement, but has since given back all gains and then some, underperforming both SPY (+5.4%) and IGV (+12.3%) since the earnings date — the de-rating reflects investor concern about CapEx intensity, margin compression, and the long payback period of the GPU build-out rather than any deterioration in the underlying business.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AKAM vs. IGV (iShares Expanded Tech-Software ETF) vs. S&amp;P 500 (SPY) — Indexed to 100 at May 7, 2026 (Q1 2026 Earnings Date). Source: Yahoo Finance.</w:t>
      </w:r>
    </w:p>
    <w:p>
      <w:r>
        <w:rPr>
          <w:rFonts w:ascii="Calibri" w:hAnsi="Calibri"/>
          <w:b/>
          <w:color w:val="525866"/>
          <w:sz w:val="22"/>
        </w:rPr>
        <w:t xml:space="preserve">Performance Summary (May 7 – Aug 4, 2026): </w:t>
      </w:r>
      <w:r>
        <w:rPr>
          <w:rFonts w:ascii="Calibri" w:hAnsi="Calibri"/>
          <w:color w:val="525866"/>
          <w:sz w:val="22"/>
        </w:rPr>
        <w:t>AKAM +5.7% | IGV +12.3% | SPY +5.4%. AKAM's post-earnings spike to ~$161 (May 13 intraday high) on the $1.8B deal euphoria quickly faded as investors digested the CapEx implications. The $2.6B convertible note offering on May 18 initially pressured the stock (dilution concerns), and AKAM has trended lower through June and July, reaching a trough near $107 on July 29 before recovering modestly to ~$122 heading into the Q2 print. The stock's underperformance vs. IGV is notable given the broader software sector rally — suggesting AKAM is being valued more as a capital-intensive infrastructure company than a software/security compounder during this investment phase.</w:t>
      </w:r>
    </w:p>
    <w:p>
      <w:r>
        <w:br w:type="page"/>
      </w:r>
    </w:p>
    <w:p>
      <w:pPr>
        <w:pStyle w:val="Heading2"/>
      </w:pPr>
      <w:r>
        <w:rPr>
          <w:rFonts w:ascii="Calibri" w:hAnsi="Calibri"/>
          <w:b/>
          <w:color w:val="3B4259"/>
          <w:sz w:val="28"/>
        </w:rPr>
        <w:t>6. Peer Commentaries — Q2 2026 Read-Throughs (Last 60 Days)</w:t>
      </w:r>
    </w:p>
    <w:p>
      <w:r>
        <w:rPr>
          <w:rFonts w:ascii="Calibri" w:hAnsi="Calibri"/>
          <w:b/>
          <w:color w:val="525866"/>
          <w:sz w:val="22"/>
        </w:rPr>
        <w:t xml:space="preserve">Key Takeaway: </w:t>
      </w:r>
      <w:r>
        <w:rPr>
          <w:rFonts w:ascii="Calibri" w:hAnsi="Calibri"/>
          <w:color w:val="525866"/>
          <w:sz w:val="22"/>
        </w:rPr>
        <w:t>Peer commentary from the last 60 days is broadly positive for AKAM's two core businesses: security peers (PANW, CRWD, FTNT) are reporting accelerating demand driven by AI-powered threats and enterprise urgency — a direct tailwind for AKAM's security portfolio; and hyperscaler commentary (AMZN, MSFT, GOOGL) confirms that AI infrastructure demand is exceeding supply and that distributed/edge compute is a structural growth theme — validating AKAM's CIS investment thesis. FSLY's CDN read-through is constructive: strong traffic growth and security momentum are positive for AKAM's delivery and security businesses.</w:t>
      </w:r>
    </w:p>
    <w:p>
      <w:pPr>
        <w:pStyle w:val="Heading3"/>
      </w:pPr>
      <w:r>
        <w:rPr>
          <w:rFonts w:ascii="Calibri" w:hAnsi="Calibri"/>
          <w:b/>
          <w:color w:val="3B4259"/>
          <w:sz w:val="24"/>
        </w:rPr>
        <w:t>Security Peers — Demand Environment Read-Through</w:t>
      </w:r>
    </w:p>
    <w:p>
      <w:pPr>
        <w:pStyle w:val="ListBullet"/>
        <w:ind w:left="360" w:hanging="360"/>
      </w:pPr>
      <w:r>
        <w:rPr>
          <w:rFonts w:ascii="Calibri" w:hAnsi="Calibri"/>
          <w:b/>
          <w:color w:val="525866"/>
          <w:sz w:val="22"/>
        </w:rPr>
        <w:t xml:space="preserve">Palo Alto Networks (PANW) — Q3 FY2026 Earnings (June 2, 2026): </w:t>
      </w:r>
      <w:r>
        <w:rPr>
          <w:rFonts w:ascii="Calibri" w:hAnsi="Calibri"/>
          <w:color w:val="525866"/>
          <w:sz w:val="22"/>
        </w:rPr>
        <w:t xml:space="preserve">"Frontier AI development reached a critical inflection point… models like Mythos possess the autonomous capability to execute comprehensive attack campaigns from start to finish." Network security had its strongest Q3 in several years; next-gen firewall bookings rose nearly 40% YoY; SASE ARR reached $1.6B growing 40% YoY. Raised full-year guidance across all metrics. "AI will serve as a structural catalyst for deeper traffic inspection requirements." </w:t>
      </w:r>
      <w:r>
        <w:rPr>
          <w:rFonts w:ascii="Calibri" w:hAnsi="Calibri"/>
          <w:b/>
          <w:color w:val="30A46C"/>
          <w:sz w:val="22"/>
        </w:rPr>
        <w:t>AKAM Read-Through: Positive</w:t>
      </w:r>
      <w:r>
        <w:rPr>
          <w:rFonts w:ascii="Calibri" w:hAnsi="Calibri"/>
          <w:color w:val="525866"/>
          <w:sz w:val="22"/>
        </w:rPr>
        <w:t xml:space="preserve"> — AI-powered threats driving enterprise urgency for WAF and network security directly validates AKAM's commentary that WAF demand is accelerating and CISOs are "more agitated than ever." PANW's hardware firewall strength also suggests enterprises are investing in distributed security infrastructure, a tailwind for AKAM's platform approach.</w:t>
      </w:r>
    </w:p>
    <w:p>
      <w:pPr>
        <w:pStyle w:val="ListBullet"/>
        <w:ind w:left="360" w:hanging="360"/>
      </w:pPr>
      <w:r>
        <w:rPr>
          <w:rFonts w:ascii="Calibri" w:hAnsi="Calibri"/>
          <w:b/>
          <w:color w:val="525866"/>
          <w:sz w:val="22"/>
        </w:rPr>
        <w:t xml:space="preserve">CrowdStrike (CRWD) — Q1 FY2027 Earnings (June 3, 2026): </w:t>
      </w:r>
      <w:r>
        <w:rPr>
          <w:rFonts w:ascii="Calibri" w:hAnsi="Calibri"/>
          <w:color w:val="525866"/>
          <w:sz w:val="22"/>
        </w:rPr>
        <w:t xml:space="preserve">"The more AI an organization adopts, the more cybersecurity it requires." Raised full-year net new ARR growth expectations by 500+ bps. "Mythos inflection moment" in April generated a "deluge" of customer inquiries. "AI driving structural demand for cybersecurity that compounds, not decelerates." Incremental security budgets are being created alongside AI budgets — not cannibalizing existing spend. </w:t>
      </w:r>
      <w:r>
        <w:rPr>
          <w:rFonts w:ascii="Calibri" w:hAnsi="Calibri"/>
          <w:b/>
          <w:color w:val="30A46C"/>
          <w:sz w:val="22"/>
        </w:rPr>
        <w:t>AKAM Read-Through: Positive</w:t>
      </w:r>
      <w:r>
        <w:rPr>
          <w:rFonts w:ascii="Calibri" w:hAnsi="Calibri"/>
          <w:color w:val="525866"/>
          <w:sz w:val="22"/>
        </w:rPr>
        <w:t xml:space="preserve"> — Confirms AI adoption is creating incremental (not cannibalistic) security budgets, supportive of AKAM's security revenue growth durability. The "Mythos inflection" narrative aligns with AKAM management's Q1 commentary about CISO urgency.</w:t>
      </w:r>
    </w:p>
    <w:p>
      <w:pPr>
        <w:pStyle w:val="ListBullet"/>
        <w:ind w:left="360" w:hanging="360"/>
      </w:pPr>
      <w:r>
        <w:rPr>
          <w:rFonts w:ascii="Calibri" w:hAnsi="Calibri"/>
          <w:b/>
          <w:color w:val="525866"/>
          <w:sz w:val="22"/>
        </w:rPr>
        <w:t xml:space="preserve">Fortinet (FTNT) — Q2 2026 Earnings (July 29, 2026): </w:t>
      </w:r>
      <w:r>
        <w:rPr>
          <w:rFonts w:ascii="Calibri" w:hAnsi="Calibri"/>
          <w:color w:val="525866"/>
          <w:sz w:val="22"/>
        </w:rPr>
        <w:t xml:space="preserve">Billings +33%, revenue +26%, product revenue +52%. Secured an 8-figure win with a cloud provider for AI data center security. OT billings +55%. Unified SASE billings +35%. Raised 2026 guidance. "Cybersecurity has become an urgent business priority with high visibility at executive and board levels driving faster investment decisions." Price increases of high single digits built into H2 billings assumptions. </w:t>
      </w:r>
      <w:r>
        <w:rPr>
          <w:rFonts w:ascii="Calibri" w:hAnsi="Calibri"/>
          <w:b/>
          <w:color w:val="30A46C"/>
          <w:sz w:val="22"/>
        </w:rPr>
        <w:t>AKAM Read-Through: Strongly Positive</w:t>
      </w:r>
      <w:r>
        <w:rPr>
          <w:rFonts w:ascii="Calibri" w:hAnsi="Calibri"/>
          <w:color w:val="525866"/>
          <w:sz w:val="22"/>
        </w:rPr>
        <w:t xml:space="preserve"> — FTNT's blowout Q2 with broad-based demand across hardware, SASE, and AI data center security is the most direct and timely read-through for AKAM's security business. The AI data center security win mirrors AKAM's own CIS customer wins. Faster board-level investment decisions support AKAM's security pipeline.</w:t>
      </w:r>
    </w:p>
    <w:p>
      <w:pPr>
        <w:pStyle w:val="ListBullet"/>
        <w:ind w:left="360" w:hanging="360"/>
      </w:pPr>
      <w:r>
        <w:rPr>
          <w:rFonts w:ascii="Calibri" w:hAnsi="Calibri"/>
          <w:b/>
          <w:color w:val="525866"/>
          <w:sz w:val="22"/>
        </w:rPr>
        <w:t xml:space="preserve">Zscaler (ZS) — Zenith Live Investor Session (June 9, 2026): </w:t>
      </w:r>
      <w:r>
        <w:rPr>
          <w:rFonts w:ascii="Calibri" w:hAnsi="Calibri"/>
          <w:color w:val="525866"/>
          <w:sz w:val="22"/>
        </w:rPr>
        <w:t xml:space="preserve">Crossed $3.5B ARR. AI Protect (launched Jan 2026) already exceeded $100M ARR in 12 months. "AI security is currently an addition to the budget, rather than a reallocation." Zero Trust for AI Agents described as "most exciting announcement" with "biggest barriers to entry for new entrants." Board-level task forces reporting weekly on AI threat readiness. </w:t>
      </w:r>
      <w:r>
        <w:rPr>
          <w:rFonts w:ascii="Calibri" w:hAnsi="Calibri"/>
          <w:b/>
          <w:color w:val="30A46C"/>
          <w:sz w:val="22"/>
        </w:rPr>
        <w:t>AKAM Read-Through: Positive</w:t>
      </w:r>
      <w:r>
        <w:rPr>
          <w:rFonts w:ascii="Calibri" w:hAnsi="Calibri"/>
          <w:color w:val="525866"/>
          <w:sz w:val="22"/>
        </w:rPr>
        <w:t xml:space="preserve"> — ZS confirms AI security spending is additive to existing budgets. The urgency around AI-powered threats at the board level supports AKAM's WAF and Guardicore demand narrative. ZS's Zero Trust for AI Agents validates the broader AI security TAM expansion thesis.</w:t>
      </w:r>
    </w:p>
    <w:p>
      <w:pPr>
        <w:pStyle w:val="Heading3"/>
      </w:pPr>
      <w:r>
        <w:rPr>
          <w:rFonts w:ascii="Calibri" w:hAnsi="Calibri"/>
          <w:b/>
          <w:color w:val="3B4259"/>
          <w:sz w:val="24"/>
        </w:rPr>
        <w:t>Cloud Infrastructure &amp; CDN Peers — AI Demand &amp; Edge Computing Read-Through</w:t>
      </w:r>
    </w:p>
    <w:p>
      <w:pPr>
        <w:pStyle w:val="ListBullet"/>
        <w:ind w:left="360" w:hanging="360"/>
      </w:pPr>
      <w:r>
        <w:rPr>
          <w:rFonts w:ascii="Calibri" w:hAnsi="Calibri"/>
          <w:b/>
          <w:color w:val="525866"/>
          <w:sz w:val="22"/>
        </w:rPr>
        <w:t xml:space="preserve">Amazon Web Services (AMZN) — Q2 2026 Earnings (July 30, 2026): </w:t>
      </w:r>
      <w:r>
        <w:rPr>
          <w:rFonts w:ascii="Calibri" w:hAnsi="Calibri"/>
          <w:color w:val="525866"/>
          <w:sz w:val="22"/>
        </w:rPr>
        <w:t xml:space="preserve">AWS revenue grew 36.7% YoY — its fifth consecutive quarter of acceleration and fastest growth in 18 quarters. AWS backlog stands at $496B growing at triple-digit percentages YoY. CapEx revised up to ~$220B for 2026 (from ~$200B) primarily due to higher memory costs. "AWS anticipates not having enough capacity to meet all demand in 2026, a dynamic expected to continue into 2027." Customers prefer AI inference workloads to reside near their other applications and data. </w:t>
      </w:r>
      <w:r>
        <w:rPr>
          <w:rFonts w:ascii="Calibri" w:hAnsi="Calibri"/>
          <w:b/>
          <w:color w:val="30A46C"/>
          <w:sz w:val="22"/>
        </w:rPr>
        <w:t>AKAM Read-Through: Positive</w:t>
      </w:r>
      <w:r>
        <w:rPr>
          <w:rFonts w:ascii="Calibri" w:hAnsi="Calibri"/>
          <w:color w:val="525866"/>
          <w:sz w:val="22"/>
        </w:rPr>
        <w:t xml:space="preserve"> — AWS's capacity constraints and demand-exceeds-supply dynamic directly validates AKAM's positioning as a distributed alternative for AI inference at the edge. The memory cost inflation commentary is a watch item for AKAM's own CapEx and server cost trajectory.</w:t>
      </w:r>
    </w:p>
    <w:p>
      <w:pPr>
        <w:pStyle w:val="ListBullet"/>
        <w:ind w:left="360" w:hanging="360"/>
      </w:pPr>
      <w:r>
        <w:rPr>
          <w:rFonts w:ascii="Calibri" w:hAnsi="Calibri"/>
          <w:b/>
          <w:color w:val="525866"/>
          <w:sz w:val="22"/>
        </w:rPr>
        <w:t xml:space="preserve">Microsoft Azure (MSFT) — Q4 FY2026 Earnings (July 29, 2026): </w:t>
      </w:r>
      <w:r>
        <w:rPr>
          <w:rFonts w:ascii="Calibri" w:hAnsi="Calibri"/>
          <w:color w:val="525866"/>
          <w:sz w:val="22"/>
        </w:rPr>
        <w:t xml:space="preserve">Azure surpassed $100B in annual revenue, growing 41%. Added 31 new data centers across five continents this quarter (88 total this year). "Customer demand continues to exceed available capacity." Reduced GPU doctor lifetimes by nearly 50% over the last fiscal year. CapEx was $41B, with roughly two-thirds allocated to short-lived assets (CPUs and GPUs). "We see significant opportunity for Windows to become the offload for unmetered intelligence, combining powerful on-device compute with enterprise-grade security." </w:t>
      </w:r>
      <w:r>
        <w:rPr>
          <w:rFonts w:ascii="Calibri" w:hAnsi="Calibri"/>
          <w:b/>
          <w:color w:val="30A46C"/>
          <w:sz w:val="22"/>
        </w:rPr>
        <w:t>AKAM Read-Through: Positive</w:t>
      </w:r>
      <w:r>
        <w:rPr>
          <w:rFonts w:ascii="Calibri" w:hAnsi="Calibri"/>
          <w:color w:val="525866"/>
          <w:sz w:val="22"/>
        </w:rPr>
        <w:t xml:space="preserve"> — MSFT's commentary on edge AI and on-device compute validates AKAM's distributed inference thesis. The demand-exceeds-supply dynamic across hyperscalers reinforces the need for distributed alternatives like AKAM's Inference Cloud.</w:t>
      </w:r>
    </w:p>
    <w:p>
      <w:pPr>
        <w:pStyle w:val="ListBullet"/>
        <w:ind w:left="360" w:hanging="360"/>
      </w:pPr>
      <w:r>
        <w:rPr>
          <w:rFonts w:ascii="Calibri" w:hAnsi="Calibri"/>
          <w:b/>
          <w:color w:val="525866"/>
          <w:sz w:val="22"/>
        </w:rPr>
        <w:t xml:space="preserve">Google Cloud (GOOGL) — Q2 2026 Earnings (July 22, 2026): </w:t>
      </w:r>
      <w:r>
        <w:rPr>
          <w:rFonts w:ascii="Calibri" w:hAnsi="Calibri"/>
          <w:color w:val="525866"/>
          <w:sz w:val="22"/>
        </w:rPr>
        <w:t xml:space="preserve">Google Cloud revenue grew 82% YoY; cloud backlog grew to $514B. "Strong and diversified demand across various products, customers, geographies, and industries." Model APIs processing approximately 22 billion tokens per minute (up from 16B a quarter ago). Company remains "supply constrained" which they view as a "sign of momentum and rapid adoption." </w:t>
      </w:r>
      <w:r>
        <w:rPr>
          <w:rFonts w:ascii="Calibri" w:hAnsi="Calibri"/>
          <w:b/>
          <w:color w:val="30A46C"/>
          <w:sz w:val="22"/>
        </w:rPr>
        <w:t>AKAM Read-Through: Positive</w:t>
      </w:r>
      <w:r>
        <w:rPr>
          <w:rFonts w:ascii="Calibri" w:hAnsi="Calibri"/>
          <w:color w:val="525866"/>
          <w:sz w:val="22"/>
        </w:rPr>
        <w:t xml:space="preserve"> — Google's supply constraints and token processing growth confirm the scale of AI inference demand. The distributed compute theme (TPU deployments in customer data centers) validates AKAM's edge inference positioning.</w:t>
      </w:r>
    </w:p>
    <w:p>
      <w:pPr>
        <w:pStyle w:val="ListBullet"/>
        <w:ind w:left="360" w:hanging="360"/>
      </w:pPr>
      <w:r>
        <w:rPr>
          <w:rFonts w:ascii="Calibri" w:hAnsi="Calibri"/>
          <w:b/>
          <w:color w:val="525866"/>
          <w:sz w:val="22"/>
        </w:rPr>
        <w:t xml:space="preserve">Cloudflare (NET) — Investor Day (June 9, 2026): </w:t>
      </w:r>
      <w:r>
        <w:rPr>
          <w:rFonts w:ascii="Calibri" w:hAnsi="Calibri"/>
          <w:color w:val="525866"/>
          <w:sz w:val="22"/>
        </w:rPr>
        <w:t xml:space="preserve">"Cloudflare is the default, where it goes to" for AI inference routing. OpenAI built its latest platform on top of Cloudflare. Partnered with Anthropic. "We can be 100 times more efficient than any type of compute out there" using isolates vs. VMs. "Cloudflare is the only cloud that's going to be prepared for this next agentic era." Wrangler downloads up nearly 1,000% YoY; 5.5 million developers building on Cloudflare. </w:t>
      </w:r>
      <w:r>
        <w:rPr>
          <w:rFonts w:ascii="Calibri" w:hAnsi="Calibri"/>
          <w:b/>
          <w:color w:val="002FA7"/>
          <w:sz w:val="22"/>
        </w:rPr>
        <w:t>AKAM Read-Through: Mixed</w:t>
      </w:r>
      <w:r>
        <w:rPr>
          <w:rFonts w:ascii="Calibri" w:hAnsi="Calibri"/>
          <w:color w:val="525866"/>
          <w:sz w:val="22"/>
        </w:rPr>
        <w:t xml:space="preserve"> — NET's aggressive positioning in AI inference and edge compute is a direct competitive read-through for AKAM's CIS business. NET's developer platform momentum and OpenAI partnership suggest AKAM faces a well-capitalized competitor in the edge AI space. However, AKAM's GPU-based inference grid targets different workloads (large-scale frontier model inference) vs. NET's serverless/isolates approach.</w:t>
      </w:r>
    </w:p>
    <w:p>
      <w:pPr>
        <w:pStyle w:val="ListBullet"/>
        <w:ind w:left="360" w:hanging="360"/>
      </w:pPr>
      <w:r>
        <w:rPr>
          <w:rFonts w:ascii="Calibri" w:hAnsi="Calibri"/>
          <w:b/>
          <w:color w:val="525866"/>
          <w:sz w:val="22"/>
        </w:rPr>
        <w:t xml:space="preserve">Fastly (FSLY) — Q2 2026 Earnings (August 5, 2026): </w:t>
      </w:r>
      <w:r>
        <w:rPr>
          <w:rFonts w:ascii="Calibri" w:hAnsi="Calibri"/>
          <w:color w:val="525866"/>
          <w:sz w:val="22"/>
        </w:rPr>
        <w:t xml:space="preserve">Revenue reached a record $183M (+23% YoY), exceeding the high end of guidance. Network services revenue grew 17% YoY. Security revenue grew 43% YoY and 8% sequentially to $41.7M. "AI-generated traffic is growing at approximately 6.5x the rate of human traffic." Trailing 12-month net retention rate rose to 117%, the highest level in over three years. Raised full-year revenue guidance to $732–$746M (+18% YoY). "Pricing in Q2 was very consistent with Q1 and even the prior year, Q4, operating in a very rational pricing environment." </w:t>
      </w:r>
      <w:r>
        <w:rPr>
          <w:rFonts w:ascii="Calibri" w:hAnsi="Calibri"/>
          <w:b/>
          <w:color w:val="30A46C"/>
          <w:sz w:val="22"/>
        </w:rPr>
        <w:t>AKAM Read-Through: Positive</w:t>
      </w:r>
      <w:r>
        <w:rPr>
          <w:rFonts w:ascii="Calibri" w:hAnsi="Calibri"/>
          <w:color w:val="525866"/>
          <w:sz w:val="22"/>
        </w:rPr>
        <w:t xml:space="preserve"> — FSLY's record revenue and strong traffic growth are positive for AKAM's delivery business, suggesting healthy internet traffic trends in Q2. FSLY's security revenue growth (+43% YoY) and WAF momentum are constructive for AKAM's security business. The "rational pricing environment" commentary is reassuring for AKAM's delivery pricing dynamics. AI traffic growing at 6.5x human traffic rate is a structural tailwind for AKAM's platform.</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print is the $2.6B convertible note offering (May 18), which materially changes AKAM's capital structure and signals management's conviction in the CIS demand pipeline; the secondary implication is that the company is now explicitly financing its GPU build-out through capital markets rather than solely from operating cash flow, which investors will scrutinize for execution risk.</w:t>
      </w:r>
    </w:p>
    <w:p>
      <w:pPr>
        <w:pStyle w:val="ListBullet"/>
        <w:ind w:left="360" w:hanging="360"/>
      </w:pPr>
      <w:r>
        <w:rPr>
          <w:rFonts w:ascii="Calibri" w:hAnsi="Calibri"/>
          <w:b/>
          <w:color w:val="525866"/>
          <w:sz w:val="22"/>
        </w:rPr>
        <w:t>May 7, 2026 — Q1 2026 Earnings: Landmark $1.8B, 7-Year CIS Deal Announced.</w:t>
      </w:r>
      <w:r>
        <w:rPr>
          <w:rFonts w:ascii="Calibri" w:hAnsi="Calibri"/>
          <w:color w:val="525866"/>
          <w:sz w:val="22"/>
        </w:rPr>
        <w:t xml:space="preserve"> AKAM reported Q1 2026 results in line with consensus (revenue $1,073.6M, non-GAAP EPS $1.61) and announced the largest customer deal in company history: a 7-year, $1.8B commitment from a leading US-based frontier model company. Management raised FY 2026 CIS guidance to at least 50% CC growth (from 45–50%) and dramatically raised CapEx guidance to ~40–42% of revenue (from 23–26%). Introduced a 2027 double-digit total revenue growth target. Disclosed GPU pipeline significantly exceeds existing and projected inventory, flagging potential for additional GPU orders in H2 2026 not yet in guidance. Stock surged ~27% the following day.</w:t>
      </w:r>
    </w:p>
    <w:p>
      <w:pPr>
        <w:pStyle w:val="ListBullet"/>
        <w:ind w:left="360" w:hanging="360"/>
      </w:pPr>
      <w:r>
        <w:rPr>
          <w:rFonts w:ascii="Calibri" w:hAnsi="Calibri"/>
          <w:b/>
          <w:color w:val="525866"/>
          <w:sz w:val="22"/>
        </w:rPr>
        <w:t>May 13, 2026 — Annual Meeting: Shareholders Approve Special Meeting Right, Expand Equity Compensation Plans.</w:t>
      </w:r>
      <w:r>
        <w:rPr>
          <w:rFonts w:ascii="Calibri" w:hAnsi="Calibri"/>
          <w:color w:val="525866"/>
          <w:sz w:val="22"/>
        </w:rPr>
        <w:t xml:space="preserve"> Shareholders approved a special meeting right and expanded equity compensation plans. Amended charter and bylaws filed via 8-K. Routine governance action; no material financial implication.</w:t>
      </w:r>
    </w:p>
    <w:p>
      <w:pPr>
        <w:pStyle w:val="ListBullet"/>
        <w:ind w:left="360" w:hanging="360"/>
      </w:pPr>
      <w:r>
        <w:rPr>
          <w:rFonts w:ascii="Calibri" w:hAnsi="Calibri"/>
          <w:b/>
          <w:color w:val="525866"/>
          <w:sz w:val="22"/>
        </w:rPr>
        <w:t>May 18, 2026 — $2.6B Convertible Note Offering (0% Coupon).</w:t>
      </w:r>
      <w:r>
        <w:rPr>
          <w:rFonts w:ascii="Calibri" w:hAnsi="Calibri"/>
          <w:color w:val="525866"/>
          <w:sz w:val="22"/>
        </w:rPr>
        <w:t xml:space="preserve"> AKAM announced a $2.6B private offering of 0% convertible senior notes: $1.3B due 2030 and $1.3B due 2032 (plus $400M greenshoe option). Proceeds to fund CIS CapEx build-out and ~$350M share repurchase. Credit agreement amended to increase maximum consolidated leverage ratio to 4.75x for Q2 and Q3 2026. </w:t>
      </w:r>
      <w:r>
        <w:rPr>
          <w:rFonts w:ascii="Calibri" w:hAnsi="Calibri"/>
          <w:i/>
          <w:color w:val="525866"/>
          <w:sz w:val="22"/>
        </w:rPr>
        <w:t xml:space="preserve">Implication: </w:t>
      </w:r>
      <w:r>
        <w:rPr>
          <w:rFonts w:ascii="Calibri" w:hAnsi="Calibri"/>
          <w:color w:val="525866"/>
          <w:sz w:val="22"/>
        </w:rPr>
        <w:t>This is the most significant post-earnings development. The 0% coupon structure is favorable, but the leverage ratio amendment signals that the CapEx surge will temporarily stress the balance sheet. The $350M concurrent buyback partially offsets dilution concerns. Investors will watch whether the company can execute the GPU build-out on time and on budget.</w:t>
      </w:r>
    </w:p>
    <w:p>
      <w:pPr>
        <w:pStyle w:val="ListBullet"/>
        <w:ind w:left="360" w:hanging="360"/>
      </w:pPr>
      <w:r>
        <w:rPr>
          <w:rFonts w:ascii="Calibri" w:hAnsi="Calibri"/>
          <w:b/>
          <w:color w:val="525866"/>
          <w:sz w:val="22"/>
        </w:rPr>
        <w:t>Analyst Rating Actions (Post-Q1 Earnings):</w:t>
      </w:r>
      <w:r>
        <w:rPr>
          <w:rFonts w:ascii="Calibri" w:hAnsi="Calibri"/>
          <w:color w:val="525866"/>
          <w:sz w:val="22"/>
        </w:rPr>
        <w:t xml:space="preserve"> Multiple upgrades and price target increases followed the Q1 print: Craig Hallum upgraded to Buy with a $190 PT (May 8); UBS raised PT from $110 to $160 (May 8); HSBC raised PT from $134 to $171 (May 11); B of A Securities raised PT to $175 and upgraded to Buy (May 13); Morgan Stanley raised PT to $165 (May 14); Citigroup raised PT from $110 to $160 (May 15). Consensus PT as of early August is ~$145 (22 analysts), with a Hold consensus rating — reflecting the market's uncertainty about the CapEx-to-revenue payback timeline.</w:t>
      </w:r>
    </w:p>
    <w:p>
      <w:pPr>
        <w:pStyle w:val="ListBullet"/>
        <w:ind w:left="360" w:hanging="360"/>
      </w:pPr>
      <w:r>
        <w:rPr>
          <w:rFonts w:ascii="Calibri" w:hAnsi="Calibri"/>
          <w:b/>
          <w:color w:val="525866"/>
          <w:sz w:val="22"/>
        </w:rPr>
        <w:t>July 2, 2026 — Q2 2026 Earnings Call Scheduled for August 6, 2026 at 4:30 PM ET.</w:t>
      </w:r>
      <w:r>
        <w:rPr>
          <w:rFonts w:ascii="Calibri" w:hAnsi="Calibri"/>
          <w:color w:val="525866"/>
          <w:sz w:val="22"/>
        </w:rPr>
        <w:t xml:space="preserve"> Routine announcement confirming the earnings date. No guidance update provided.</w:t>
      </w:r>
    </w:p>
    <w:p>
      <w:pPr>
        <w:pStyle w:val="ListBullet"/>
        <w:ind w:left="360" w:hanging="360"/>
      </w:pPr>
      <w:r>
        <w:rPr>
          <w:rFonts w:ascii="Calibri" w:hAnsi="Calibri"/>
          <w:b/>
          <w:color w:val="525866"/>
          <w:sz w:val="22"/>
        </w:rPr>
        <w:t>Peer Read-Through — Fortinet Q2 2026 (July 29, 2026): Blowout Security Quarter.</w:t>
      </w:r>
      <w:r>
        <w:rPr>
          <w:rFonts w:ascii="Calibri" w:hAnsi="Calibri"/>
          <w:color w:val="525866"/>
          <w:sz w:val="22"/>
        </w:rPr>
        <w:t xml:space="preserve"> FTNT reported billings +33%, revenue +26%, product revenue +52% — the strongest security demand environment in years. </w:t>
      </w:r>
      <w:r>
        <w:rPr>
          <w:rFonts w:ascii="Calibri" w:hAnsi="Calibri"/>
          <w:i/>
          <w:color w:val="525866"/>
          <w:sz w:val="22"/>
        </w:rPr>
        <w:t xml:space="preserve">Implication: </w:t>
      </w:r>
      <w:r>
        <w:rPr>
          <w:rFonts w:ascii="Calibri" w:hAnsi="Calibri"/>
          <w:color w:val="525866"/>
          <w:sz w:val="22"/>
        </w:rPr>
        <w:t>Sets a high bar for security demand expectations heading into AKAM's Q2 print. If AKAM's security revenue growth decelerates from Q1's 11% YoY, it will be notable given the strong peer backdrop.</w:t>
      </w:r>
    </w:p>
    <w:p>
      <w:pPr>
        <w:pStyle w:val="ListBullet"/>
        <w:ind w:left="360" w:hanging="360"/>
      </w:pPr>
      <w:r>
        <w:rPr>
          <w:rFonts w:ascii="Calibri" w:hAnsi="Calibri"/>
          <w:b/>
          <w:color w:val="525866"/>
          <w:sz w:val="22"/>
        </w:rPr>
        <w:t>Peer Read-Through — Fastly Q2 2026 (August 5, 2026): Record Revenue, Rational CDN Pricing.</w:t>
      </w:r>
      <w:r>
        <w:rPr>
          <w:rFonts w:ascii="Calibri" w:hAnsi="Calibri"/>
          <w:color w:val="525866"/>
          <w:sz w:val="22"/>
        </w:rPr>
        <w:t xml:space="preserve"> FSLY reported record revenue of $183M (+23% YoY) with "rational pricing environment" and mid-single-digit price erosion. AI traffic growing at 6.5x human traffic rate. </w:t>
      </w:r>
      <w:r>
        <w:rPr>
          <w:rFonts w:ascii="Calibri" w:hAnsi="Calibri"/>
          <w:i/>
          <w:color w:val="525866"/>
          <w:sz w:val="22"/>
        </w:rPr>
        <w:t xml:space="preserve">Implication: </w:t>
      </w:r>
      <w:r>
        <w:rPr>
          <w:rFonts w:ascii="Calibri" w:hAnsi="Calibri"/>
          <w:color w:val="525866"/>
          <w:sz w:val="22"/>
        </w:rPr>
        <w:t>Positive for AKAM's delivery business — suggests healthy traffic trends in Q2 and no pricing deterioration. FSLY's security revenue growth (+43% YoY) is also constructive for AKAM's security pipeline.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the Q1 earnings date are 10b5-1 planned sales — no discretionary open-market selling and no open-market buying. The absence of discretionary insider buying despite the stock's significant pullback from its post-earnings highs (~$161 to ~$122) is notable but not alarming given the 10b5-1 plan context; the planned sales are routine and obligation-driven.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Joseph Paul C</w:t>
            </w:r>
          </w:p>
        </w:tc>
        <w:tc>
          <w:tcPr>
            <w:tcW w:type="dxa" w:w="1440"/>
          </w:tcPr>
          <w:p>
            <w:r>
              <w:rPr>
                <w:rFonts w:ascii="Calibri" w:hAnsi="Calibri"/>
                <w:sz w:val="22"/>
              </w:rPr>
              <w:t>EVP — Global Sales</w:t>
            </w:r>
          </w:p>
        </w:tc>
        <w:tc>
          <w:tcPr>
            <w:tcW w:type="dxa" w:w="1440"/>
          </w:tcPr>
          <w:p>
            <w:r>
              <w:rPr>
                <w:rFonts w:ascii="Calibri" w:hAnsi="Calibri"/>
                <w:sz w:val="22"/>
              </w:rPr>
              <w:t>10b5-1 Planned Sale</w:t>
            </w:r>
          </w:p>
        </w:tc>
        <w:tc>
          <w:tcPr>
            <w:tcW w:type="dxa" w:w="1440"/>
          </w:tcPr>
          <w:p>
            <w:r>
              <w:rPr>
                <w:rFonts w:ascii="Calibri" w:hAnsi="Calibri"/>
                <w:sz w:val="22"/>
              </w:rPr>
              <w:t>3,100</w:t>
            </w:r>
          </w:p>
        </w:tc>
        <w:tc>
          <w:tcPr>
            <w:tcW w:type="dxa" w:w="1440"/>
          </w:tcPr>
          <w:p>
            <w:r>
              <w:rPr>
                <w:rFonts w:ascii="Calibri" w:hAnsi="Calibri"/>
                <w:sz w:val="22"/>
              </w:rPr>
              <w:t>July 15, 2026</w:t>
            </w:r>
          </w:p>
        </w:tc>
        <w:tc>
          <w:tcPr>
            <w:tcW w:type="dxa" w:w="1440"/>
          </w:tcPr>
          <w:p>
            <w:r>
              <w:rPr>
                <w:rFonts w:ascii="Calibri" w:hAnsi="Calibri"/>
                <w:sz w:val="22"/>
              </w:rPr>
              <w:t>Pre-planned; routine 10b5-1 plan execution</w:t>
            </w:r>
          </w:p>
        </w:tc>
      </w:tr>
      <w:tr>
        <w:tc>
          <w:tcPr>
            <w:tcW w:type="dxa" w:w="1440"/>
          </w:tcPr>
          <w:p>
            <w:r>
              <w:rPr>
                <w:rFonts w:ascii="Calibri" w:hAnsi="Calibri"/>
                <w:sz w:val="22"/>
              </w:rPr>
              <w:t>Blumofe Robert</w:t>
            </w:r>
          </w:p>
        </w:tc>
        <w:tc>
          <w:tcPr>
            <w:tcW w:type="dxa" w:w="1440"/>
          </w:tcPr>
          <w:p>
            <w:r>
              <w:rPr>
                <w:rFonts w:ascii="Calibri" w:hAnsi="Calibri"/>
                <w:sz w:val="22"/>
              </w:rPr>
              <w:t>Chief Technology Officer</w:t>
            </w:r>
          </w:p>
        </w:tc>
        <w:tc>
          <w:tcPr>
            <w:tcW w:type="dxa" w:w="1440"/>
          </w:tcPr>
          <w:p>
            <w:r>
              <w:rPr>
                <w:rFonts w:ascii="Calibri" w:hAnsi="Calibri"/>
                <w:sz w:val="22"/>
              </w:rPr>
              <w:t>10b5-1 Planned Sale</w:t>
            </w:r>
          </w:p>
        </w:tc>
        <w:tc>
          <w:tcPr>
            <w:tcW w:type="dxa" w:w="1440"/>
          </w:tcPr>
          <w:p>
            <w:r>
              <w:rPr>
                <w:rFonts w:ascii="Calibri" w:hAnsi="Calibri"/>
                <w:sz w:val="22"/>
              </w:rPr>
              <w:t>243</w:t>
            </w:r>
          </w:p>
        </w:tc>
        <w:tc>
          <w:tcPr>
            <w:tcW w:type="dxa" w:w="1440"/>
          </w:tcPr>
          <w:p>
            <w:r>
              <w:rPr>
                <w:rFonts w:ascii="Calibri" w:hAnsi="Calibri"/>
                <w:sz w:val="22"/>
              </w:rPr>
              <w:t>June 18, 2026</w:t>
            </w:r>
          </w:p>
        </w:tc>
        <w:tc>
          <w:tcPr>
            <w:tcW w:type="dxa" w:w="1440"/>
          </w:tcPr>
          <w:p>
            <w:r>
              <w:rPr>
                <w:rFonts w:ascii="Calibri" w:hAnsi="Calibri"/>
                <w:sz w:val="22"/>
              </w:rPr>
              <w:t>Pre-planned; routine 10b5-1 plan execution</w:t>
            </w:r>
          </w:p>
        </w:tc>
      </w:tr>
      <w:tr>
        <w:tc>
          <w:tcPr>
            <w:tcW w:type="dxa" w:w="1440"/>
          </w:tcPr>
          <w:p>
            <w:r>
              <w:rPr>
                <w:rFonts w:ascii="Calibri" w:hAnsi="Calibri"/>
                <w:sz w:val="22"/>
              </w:rPr>
              <w:t>Salem-Jackson Kim</w:t>
            </w:r>
          </w:p>
        </w:tc>
        <w:tc>
          <w:tcPr>
            <w:tcW w:type="dxa" w:w="1440"/>
          </w:tcPr>
          <w:p>
            <w:r>
              <w:rPr>
                <w:rFonts w:ascii="Calibri" w:hAnsi="Calibri"/>
                <w:sz w:val="22"/>
              </w:rPr>
              <w:t>EVP, Chief Marketing Officer</w:t>
            </w:r>
          </w:p>
        </w:tc>
        <w:tc>
          <w:tcPr>
            <w:tcW w:type="dxa" w:w="1440"/>
          </w:tcPr>
          <w:p>
            <w:r>
              <w:rPr>
                <w:rFonts w:ascii="Calibri" w:hAnsi="Calibri"/>
                <w:sz w:val="22"/>
              </w:rPr>
              <w:t>10b5-1 Planned Sale</w:t>
            </w:r>
          </w:p>
        </w:tc>
        <w:tc>
          <w:tcPr>
            <w:tcW w:type="dxa" w:w="1440"/>
          </w:tcPr>
          <w:p>
            <w:r>
              <w:rPr>
                <w:rFonts w:ascii="Calibri" w:hAnsi="Calibri"/>
                <w:sz w:val="22"/>
              </w:rPr>
              <w:t>2,300</w:t>
            </w:r>
          </w:p>
        </w:tc>
        <w:tc>
          <w:tcPr>
            <w:tcW w:type="dxa" w:w="1440"/>
          </w:tcPr>
          <w:p>
            <w:r>
              <w:rPr>
                <w:rFonts w:ascii="Calibri" w:hAnsi="Calibri"/>
                <w:sz w:val="22"/>
              </w:rPr>
              <w:t>June 10, 2026</w:t>
            </w:r>
          </w:p>
        </w:tc>
        <w:tc>
          <w:tcPr>
            <w:tcW w:type="dxa" w:w="1440"/>
          </w:tcPr>
          <w:p>
            <w:r>
              <w:rPr>
                <w:rFonts w:ascii="Calibri" w:hAnsi="Calibri"/>
                <w:sz w:val="22"/>
              </w:rPr>
              <w:t>Pre-planned; routine 10b5-1 plan execution</w:t>
            </w:r>
          </w:p>
        </w:tc>
      </w:tr>
      <w:tr>
        <w:tc>
          <w:tcPr>
            <w:tcW w:type="dxa" w:w="1440"/>
          </w:tcPr>
          <w:p>
            <w:r>
              <w:rPr>
                <w:rFonts w:ascii="Calibri" w:hAnsi="Calibri"/>
                <w:sz w:val="22"/>
              </w:rPr>
              <w:t>Howell Laura</w:t>
            </w:r>
          </w:p>
        </w:tc>
        <w:tc>
          <w:tcPr>
            <w:tcW w:type="dxa" w:w="1440"/>
          </w:tcPr>
          <w:p>
            <w:r>
              <w:rPr>
                <w:rFonts w:ascii="Calibri" w:hAnsi="Calibri"/>
                <w:sz w:val="22"/>
              </w:rPr>
              <w:t>SVP, Chief Accounting Officer</w:t>
            </w:r>
          </w:p>
        </w:tc>
        <w:tc>
          <w:tcPr>
            <w:tcW w:type="dxa" w:w="1440"/>
          </w:tcPr>
          <w:p>
            <w:r>
              <w:rPr>
                <w:rFonts w:ascii="Calibri" w:hAnsi="Calibri"/>
                <w:sz w:val="22"/>
              </w:rPr>
              <w:t>RSU Vest + Tax Withholding Sale</w:t>
            </w:r>
          </w:p>
        </w:tc>
        <w:tc>
          <w:tcPr>
            <w:tcW w:type="dxa" w:w="1440"/>
          </w:tcPr>
          <w:p>
            <w:r>
              <w:rPr>
                <w:rFonts w:ascii="Calibri" w:hAnsi="Calibri"/>
                <w:sz w:val="22"/>
              </w:rPr>
              <w:t>95 (withheld)</w:t>
            </w:r>
          </w:p>
        </w:tc>
        <w:tc>
          <w:tcPr>
            <w:tcW w:type="dxa" w:w="1440"/>
          </w:tcPr>
          <w:p>
            <w:r>
              <w:rPr>
                <w:rFonts w:ascii="Calibri" w:hAnsi="Calibri"/>
                <w:sz w:val="22"/>
              </w:rPr>
              <w:t>June 12, 2026</w:t>
            </w:r>
          </w:p>
        </w:tc>
        <w:tc>
          <w:tcPr>
            <w:tcW w:type="dxa" w:w="1440"/>
          </w:tcPr>
          <w:p>
            <w:r>
              <w:rPr>
                <w:rFonts w:ascii="Calibri" w:hAnsi="Calibri"/>
                <w:sz w:val="22"/>
              </w:rPr>
              <w:t>322 RSUs vested; 95 shares withheld for taxes; not a discretionary sale</w:t>
            </w:r>
          </w:p>
        </w:tc>
      </w:tr>
    </w:tbl>
    <w:p>
      <w:r>
        <w:rPr>
          <w:rFonts w:ascii="Calibri" w:hAnsi="Calibri"/>
          <w:i/>
          <w:color w:val="525866"/>
          <w:sz w:val="22"/>
        </w:rPr>
        <w:t xml:space="preserve">Source: SEC Form 4 filings. </w:t>
      </w:r>
      <w:r>
        <w:rPr>
          <w:rFonts w:ascii="Calibri" w:hAnsi="Calibri"/>
          <w:b/>
          <w:color w:val="525866"/>
          <w:sz w:val="22"/>
        </w:rPr>
        <w:t xml:space="preserve">Note: </w:t>
      </w:r>
      <w:r>
        <w:rPr>
          <w:rFonts w:ascii="Calibri" w:hAnsi="Calibri"/>
          <w:i/>
          <w:color w:val="525866"/>
          <w:sz w:val="22"/>
        </w:rPr>
        <w:t>All open-market transactions since the Q1 2026 earnings date (May 7, 2026) are 10b5-1 pre-planned sales or RSU-related tax withholding — none are discretionary open-market buys or sells. No open-market purchases were filed during the period. The company itself executed share repurchases as part of the $2.6B convertible note offering (approximately $350M in concurrent buybacks from note purchasers at the offering price on May 18, 2026), which represents the most significant capital return action in the period.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