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Akamai Technologies (AKAM)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Akamai Technologies, Inc.</w:t>
            </w:r>
          </w:p>
        </w:tc>
      </w:tr>
      <w:tr>
        <w:tc>
          <w:tcPr>
            <w:tcW w:type="dxa" w:w="4320"/>
          </w:tcPr>
          <w:p>
            <w:r>
              <w:rPr>
                <w:rFonts w:ascii="Calibri" w:hAnsi="Calibri"/>
                <w:b/>
                <w:sz w:val="22"/>
              </w:rPr>
              <w:t>Ticker</w:t>
            </w:r>
          </w:p>
        </w:tc>
        <w:tc>
          <w:tcPr>
            <w:tcW w:type="dxa" w:w="4320"/>
          </w:tcPr>
          <w:p>
            <w:r>
              <w:rPr>
                <w:rFonts w:ascii="Calibri" w:hAnsi="Calibri"/>
                <w:sz w:val="22"/>
              </w:rPr>
              <w:t>AKAM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6, 2026 — 4:30 PM ET</w:t>
            </w:r>
          </w:p>
        </w:tc>
      </w:tr>
      <w:tr>
        <w:tc>
          <w:tcPr>
            <w:tcW w:type="dxa" w:w="4320"/>
          </w:tcPr>
          <w:p>
            <w:r>
              <w:rPr>
                <w:rFonts w:ascii="Calibri" w:hAnsi="Calibri"/>
                <w:b/>
                <w:sz w:val="22"/>
              </w:rPr>
              <w:t>Prepared</w:t>
            </w:r>
          </w:p>
        </w:tc>
        <w:tc>
          <w:tcPr>
            <w:tcW w:type="dxa" w:w="4320"/>
          </w:tcPr>
          <w:p>
            <w:r>
              <w:rPr>
                <w:rFonts w:ascii="Calibri" w:hAnsi="Calibri"/>
                <w:sz w:val="22"/>
              </w:rPr>
              <w:t>August 5, 2026</w:t>
            </w:r>
          </w:p>
        </w:tc>
      </w:tr>
      <w:tr>
        <w:tc>
          <w:tcPr>
            <w:tcW w:type="dxa" w:w="4320"/>
          </w:tcPr>
          <w:p>
            <w:r>
              <w:rPr>
                <w:rFonts w:ascii="Calibri" w:hAnsi="Calibri"/>
                <w:b/>
                <w:sz w:val="22"/>
              </w:rPr>
              <w:t>Last Earnings</w:t>
            </w:r>
          </w:p>
        </w:tc>
        <w:tc>
          <w:tcPr>
            <w:tcW w:type="dxa" w:w="4320"/>
          </w:tcPr>
          <w:p>
            <w:r>
              <w:rPr>
                <w:rFonts w:ascii="Calibri" w:hAnsi="Calibri"/>
                <w:sz w:val="22"/>
              </w:rPr>
              <w:t>May 7, 2026 (Q1 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is constructive but nuanced — consensus is a manageable bar on revenue while the </w:t>
      </w:r>
      <w:r>
        <w:rPr>
          <w:rFonts w:ascii="Calibri" w:hAnsi="Calibri"/>
          <w:b/>
          <w:color w:val="525866"/>
          <w:sz w:val="22"/>
        </w:rPr>
        <w:t>EPS guide is wide and below prior expectations</w:t>
      </w:r>
      <w:r>
        <w:rPr>
          <w:rFonts w:ascii="Calibri" w:hAnsi="Calibri"/>
          <w:color w:val="525866"/>
          <w:sz w:val="22"/>
        </w:rPr>
        <w:t>, making the real swing factor whether the $1.8B frontier-model deal ramps on schedule and whether management signals additional GPU orders in H2 2026.</w:t>
      </w:r>
    </w:p>
    <w:p>
      <w:r>
        <w:rPr>
          <w:rFonts w:ascii="Calibri" w:hAnsi="Calibri"/>
          <w:b/>
          <w:color w:val="525866"/>
          <w:sz w:val="22"/>
        </w:rPr>
        <w:t xml:space="preserve">Bar: </w:t>
      </w:r>
      <w:r>
        <w:rPr>
          <w:rFonts w:ascii="Calibri" w:hAnsi="Calibri"/>
          <w:color w:val="525866"/>
          <w:sz w:val="22"/>
        </w:rPr>
        <w:t xml:space="preserve">Consensus revenue of ~$1.093B sits comfortably within the $1.075–$1.100B guidance range issued on May 7, representing a low-to-moderate bar on the top line. Non-GAAP EPS consensus of ~$1.58 is near the midpoint of the wide $1.45–$1.65 guide, but the range itself reflects genuine uncertainty around the timing and cost of GPU deliveries in Q2. </w:t>
      </w:r>
      <w:r>
        <w:rPr>
          <w:rFonts w:ascii="Calibri" w:hAnsi="Calibri"/>
          <w:b/>
          <w:color w:val="525866"/>
          <w:sz w:val="22"/>
        </w:rPr>
        <w:t xml:space="preserve">Guidance/Tone: </w:t>
      </w:r>
      <w:r>
        <w:rPr>
          <w:rFonts w:ascii="Calibri" w:hAnsi="Calibri"/>
          <w:color w:val="525866"/>
          <w:sz w:val="22"/>
        </w:rPr>
        <w:t xml:space="preserve">Management’s posture shifted decisively bullish at Q1 — the $1.8B seven-year CIS commitment (largest deal in company history) and the raised CIS growth outlook to ≥50% constant-currency for FY2026 signal high confidence in the AI infrastructure thesis, even as the wide EPS range acknowledges near-term margin pressure from front-loaded CapEx. </w:t>
      </w:r>
      <w:r>
        <w:rPr>
          <w:rFonts w:ascii="Calibri" w:hAnsi="Calibri"/>
          <w:b/>
          <w:color w:val="525866"/>
          <w:sz w:val="22"/>
        </w:rPr>
        <w:t xml:space="preserve">Estimate Trajectory: </w:t>
      </w:r>
      <w:r>
        <w:rPr>
          <w:rFonts w:ascii="Calibri" w:hAnsi="Calibri"/>
          <w:color w:val="525866"/>
          <w:sz w:val="22"/>
        </w:rPr>
        <w:t xml:space="preserve">Non-GAAP EPS estimates have drifted lower since the Q1 print (from ~$0.787 pre-print to ~$0.688 currently for Q2), reflecting the CapEx-driven margin compression, while revenue estimates have been broadly stable — a divergence that creates cushion on revenue but risk on EPS if GPU costs run above plan. </w:t>
      </w:r>
      <w:r>
        <w:rPr>
          <w:rFonts w:ascii="Calibri" w:hAnsi="Calibri"/>
          <w:b/>
          <w:color w:val="525866"/>
          <w:sz w:val="22"/>
        </w:rPr>
        <w:t xml:space="preserve">Stock Setup: </w:t>
      </w:r>
      <w:r>
        <w:rPr>
          <w:rFonts w:ascii="Calibri" w:hAnsi="Calibri"/>
          <w:color w:val="525866"/>
          <w:sz w:val="22"/>
        </w:rPr>
        <w:t xml:space="preserve">AKAM surged ~27% on the Q1 print (May 7–13) but has since retraced to roughly flat vs. the post-earnings close, trading at ~11.8x NTM EV/EBITDA — a meaningful re-rating from ~7.9x a year ago but still well below software/cloud peers, leaving room for further multiple expansion if the CIS ramp is confirmed. </w:t>
      </w:r>
      <w:r>
        <w:rPr>
          <w:rFonts w:ascii="Calibri" w:hAnsi="Calibri"/>
          <w:b/>
          <w:color w:val="525866"/>
          <w:sz w:val="22"/>
        </w:rPr>
        <w:t xml:space="preserve">Wildcard: </w:t>
      </w:r>
      <w:r>
        <w:rPr>
          <w:rFonts w:ascii="Calibri" w:hAnsi="Calibri"/>
          <w:color w:val="525866"/>
          <w:sz w:val="22"/>
        </w:rPr>
        <w:t>The single biggest swing factor is whether management announces additional GPU orders beyond the current $700M H2 2026 CapEx plan — the Q1 call explicitly flagged that the GPU pipeline “significantly exceeds existing and projected inventory,” and any incremental commitment would validate the AI demand thesis and likely re-accelerate the stock.</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Revenue consensus (~$1.093B) is a low bar within guidance, but </w:t>
      </w:r>
      <w:r>
        <w:rPr>
          <w:rFonts w:ascii="Calibri" w:hAnsi="Calibri"/>
          <w:b/>
          <w:color w:val="525866"/>
          <w:sz w:val="22"/>
        </w:rPr>
        <w:t>non-GAAP EPS (~$1.58) is the bigger swing factor</w:t>
      </w:r>
      <w:r>
        <w:rPr>
          <w:rFonts w:ascii="Calibri" w:hAnsi="Calibri"/>
          <w:color w:val="525866"/>
          <w:sz w:val="22"/>
        </w:rPr>
        <w:t xml:space="preserve"> given the wide guide and CapEx-driven margin uncertainty. CIS revenue growth trajectory is the most watched KPI for the AI infrastructure thesis.</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Revenue ($M)</w:t>
            </w:r>
          </w:p>
        </w:tc>
        <w:tc>
          <w:tcPr>
            <w:tcW w:type="dxa" w:w="1234"/>
          </w:tcPr>
          <w:p>
            <w:r>
              <w:rPr>
                <w:rFonts w:ascii="Calibri" w:hAnsi="Calibri"/>
                <w:sz w:val="22"/>
              </w:rPr>
              <w:t>$1,073.6</w:t>
            </w:r>
          </w:p>
        </w:tc>
        <w:tc>
          <w:tcPr>
            <w:tcW w:type="dxa" w:w="1234"/>
          </w:tcPr>
          <w:p>
            <w:r>
              <w:rPr>
                <w:rFonts w:ascii="Calibri" w:hAnsi="Calibri"/>
                <w:sz w:val="22"/>
              </w:rPr>
              <w:t>$1,043.5</w:t>
            </w:r>
          </w:p>
        </w:tc>
        <w:tc>
          <w:tcPr>
            <w:tcW w:type="dxa" w:w="1234"/>
          </w:tcPr>
          <w:p>
            <w:r>
              <w:rPr>
                <w:rFonts w:ascii="Calibri" w:hAnsi="Calibri"/>
                <w:sz w:val="22"/>
              </w:rPr>
              <w:t>$1,093.1</w:t>
            </w:r>
          </w:p>
        </w:tc>
        <w:tc>
          <w:tcPr>
            <w:tcW w:type="dxa" w:w="1234"/>
          </w:tcPr>
          <w:p>
            <w:r>
              <w:rPr>
                <w:rFonts w:ascii="Calibri" w:hAnsi="Calibri"/>
                <w:sz w:val="22"/>
              </w:rPr>
              <w:t>+4.8% YoY</w:t>
            </w:r>
          </w:p>
        </w:tc>
        <w:tc>
          <w:tcPr>
            <w:tcW w:type="dxa" w:w="1234"/>
          </w:tcPr>
          <w:p>
            <w:r>
              <w:rPr>
                <w:rFonts w:ascii="Calibri" w:hAnsi="Calibri"/>
                <w:sz w:val="22"/>
              </w:rPr>
              <w:t>$1,075–$1,100M</w:t>
            </w:r>
          </w:p>
        </w:tc>
        <w:tc>
          <w:tcPr>
            <w:tcW w:type="dxa" w:w="1234"/>
          </w:tcPr>
          <w:p>
            <w:r>
              <w:rPr>
                <w:rFonts w:ascii="Calibri" w:hAnsi="Calibri"/>
                <w:sz w:val="22"/>
              </w:rPr>
              <w:t>+0.3% vs. $1,087.5M mid</w:t>
            </w:r>
          </w:p>
        </w:tc>
      </w:tr>
      <w:tr>
        <w:tc>
          <w:tcPr>
            <w:tcW w:type="dxa" w:w="1234"/>
          </w:tcPr>
          <w:p>
            <w:r>
              <w:rPr>
                <w:rFonts w:ascii="Calibri" w:hAnsi="Calibri"/>
                <w:sz w:val="22"/>
              </w:rPr>
              <w:t>CIS Revenue ($M)</w:t>
            </w:r>
          </w:p>
        </w:tc>
        <w:tc>
          <w:tcPr>
            <w:tcW w:type="dxa" w:w="1234"/>
          </w:tcPr>
          <w:p>
            <w:r>
              <w:rPr>
                <w:rFonts w:ascii="Calibri" w:hAnsi="Calibri"/>
                <w:sz w:val="22"/>
              </w:rPr>
              <w:t>$94.6</w:t>
            </w:r>
          </w:p>
        </w:tc>
        <w:tc>
          <w:tcPr>
            <w:tcW w:type="dxa" w:w="1234"/>
          </w:tcPr>
          <w:p>
            <w:r>
              <w:rPr>
                <w:rFonts w:ascii="Calibri" w:hAnsi="Calibri"/>
                <w:sz w:val="22"/>
              </w:rPr>
              <w:t>$71.5</w:t>
            </w:r>
          </w:p>
        </w:tc>
        <w:tc>
          <w:tcPr>
            <w:tcW w:type="dxa" w:w="1234"/>
          </w:tcPr>
          <w:p>
            <w:r>
              <w:rPr>
                <w:rFonts w:ascii="Calibri" w:hAnsi="Calibri"/>
                <w:sz w:val="22"/>
              </w:rPr>
              <w:t>$101.7</w:t>
            </w:r>
          </w:p>
        </w:tc>
        <w:tc>
          <w:tcPr>
            <w:tcW w:type="dxa" w:w="1234"/>
          </w:tcPr>
          <w:p>
            <w:r>
              <w:rPr>
                <w:rFonts w:ascii="Calibri" w:hAnsi="Calibri"/>
                <w:sz w:val="22"/>
              </w:rPr>
              <w:t>+42.3% YoY</w:t>
            </w:r>
          </w:p>
        </w:tc>
        <w:tc>
          <w:tcPr>
            <w:tcW w:type="dxa" w:w="1234"/>
          </w:tcPr>
          <w:p>
            <w:r>
              <w:rPr>
                <w:rFonts w:ascii="Calibri" w:hAnsi="Calibri"/>
                <w:sz w:val="22"/>
              </w:rPr>
              <w:t>≥50% CC growth FY2026</w:t>
            </w:r>
          </w:p>
        </w:tc>
        <w:tc>
          <w:tcPr>
            <w:tcW w:type="dxa" w:w="1234"/>
          </w:tcPr>
          <w:p>
            <w:r>
              <w:rPr>
                <w:rFonts w:ascii="Calibri" w:hAnsi="Calibri"/>
                <w:sz w:val="22"/>
              </w:rPr>
              <w:t>N/A (FY guide only)</w:t>
            </w:r>
          </w:p>
        </w:tc>
      </w:tr>
      <w:tr>
        <w:tc>
          <w:tcPr>
            <w:tcW w:type="dxa" w:w="1234"/>
          </w:tcPr>
          <w:p>
            <w:r>
              <w:rPr>
                <w:rFonts w:ascii="Calibri" w:hAnsi="Calibri"/>
                <w:sz w:val="22"/>
              </w:rPr>
              <w:t>Security Revenue ($M)</w:t>
            </w:r>
          </w:p>
        </w:tc>
        <w:tc>
          <w:tcPr>
            <w:tcW w:type="dxa" w:w="1234"/>
          </w:tcPr>
          <w:p>
            <w:r>
              <w:rPr>
                <w:rFonts w:ascii="Calibri" w:hAnsi="Calibri"/>
                <w:sz w:val="22"/>
              </w:rPr>
              <w:t>$589.8</w:t>
            </w:r>
          </w:p>
        </w:tc>
        <w:tc>
          <w:tcPr>
            <w:tcW w:type="dxa" w:w="1234"/>
          </w:tcPr>
          <w:p>
            <w:r>
              <w:rPr>
                <w:rFonts w:ascii="Calibri" w:hAnsi="Calibri"/>
                <w:sz w:val="22"/>
              </w:rPr>
              <w:t>$551.9</w:t>
            </w:r>
          </w:p>
        </w:tc>
        <w:tc>
          <w:tcPr>
            <w:tcW w:type="dxa" w:w="1234"/>
          </w:tcPr>
          <w:p>
            <w:r>
              <w:rPr>
                <w:rFonts w:ascii="Calibri" w:hAnsi="Calibri"/>
                <w:sz w:val="22"/>
              </w:rPr>
              <w:t>$600.6</w:t>
            </w:r>
          </w:p>
        </w:tc>
        <w:tc>
          <w:tcPr>
            <w:tcW w:type="dxa" w:w="1234"/>
          </w:tcPr>
          <w:p>
            <w:r>
              <w:rPr>
                <w:rFonts w:ascii="Calibri" w:hAnsi="Calibri"/>
                <w:sz w:val="22"/>
              </w:rPr>
              <w:t>+8.8% YoY</w:t>
            </w:r>
          </w:p>
        </w:tc>
        <w:tc>
          <w:tcPr>
            <w:tcW w:type="dxa" w:w="1234"/>
          </w:tcPr>
          <w:p>
            <w:r>
              <w:rPr>
                <w:rFonts w:ascii="Calibri" w:hAnsi="Calibri"/>
                <w:sz w:val="22"/>
              </w:rPr>
              <w:t>High single digits CC FY2026</w:t>
            </w:r>
          </w:p>
        </w:tc>
        <w:tc>
          <w:tcPr>
            <w:tcW w:type="dxa" w:w="1234"/>
          </w:tcPr>
          <w:p>
            <w:r>
              <w:rPr>
                <w:rFonts w:ascii="Calibri" w:hAnsi="Calibri"/>
                <w:sz w:val="22"/>
              </w:rPr>
              <w:t>N/A (FY guide only)</w:t>
            </w:r>
          </w:p>
        </w:tc>
      </w:tr>
      <w:tr>
        <w:tc>
          <w:tcPr>
            <w:tcW w:type="dxa" w:w="1234"/>
          </w:tcPr>
          <w:p>
            <w:r>
              <w:rPr>
                <w:rFonts w:ascii="Calibri" w:hAnsi="Calibri"/>
                <w:sz w:val="22"/>
              </w:rPr>
              <w:t>Delivery Revenue ($M)</w:t>
            </w:r>
          </w:p>
        </w:tc>
        <w:tc>
          <w:tcPr>
            <w:tcW w:type="dxa" w:w="1234"/>
          </w:tcPr>
          <w:p>
            <w:r>
              <w:rPr>
                <w:rFonts w:ascii="Calibri" w:hAnsi="Calibri"/>
                <w:sz w:val="22"/>
              </w:rPr>
              <w:t>$294.2</w:t>
            </w:r>
          </w:p>
        </w:tc>
        <w:tc>
          <w:tcPr>
            <w:tcW w:type="dxa" w:w="1234"/>
          </w:tcPr>
          <w:p>
            <w:r>
              <w:rPr>
                <w:rFonts w:ascii="Calibri" w:hAnsi="Calibri"/>
                <w:sz w:val="22"/>
              </w:rPr>
              <w:t>$320.1</w:t>
            </w:r>
          </w:p>
        </w:tc>
        <w:tc>
          <w:tcPr>
            <w:tcW w:type="dxa" w:w="1234"/>
          </w:tcPr>
          <w:p>
            <w:r>
              <w:rPr>
                <w:rFonts w:ascii="Calibri" w:hAnsi="Calibri"/>
                <w:sz w:val="22"/>
              </w:rPr>
              <w:t>$298.2</w:t>
            </w:r>
          </w:p>
        </w:tc>
        <w:tc>
          <w:tcPr>
            <w:tcW w:type="dxa" w:w="1234"/>
          </w:tcPr>
          <w:p>
            <w:r>
              <w:rPr>
                <w:rFonts w:ascii="Calibri" w:hAnsi="Calibri"/>
                <w:sz w:val="22"/>
              </w:rPr>
              <w:t>−6.8% YoY</w:t>
            </w:r>
          </w:p>
        </w:tc>
        <w:tc>
          <w:tcPr>
            <w:tcW w:type="dxa" w:w="1234"/>
          </w:tcPr>
          <w:p>
            <w:r>
              <w:rPr>
                <w:rFonts w:ascii="Calibri" w:hAnsi="Calibri"/>
                <w:sz w:val="22"/>
              </w:rPr>
              <w:t>Mid-single digit decline CC FY2026</w:t>
            </w:r>
          </w:p>
        </w:tc>
        <w:tc>
          <w:tcPr>
            <w:tcW w:type="dxa" w:w="1234"/>
          </w:tcPr>
          <w:p>
            <w:r>
              <w:rPr>
                <w:rFonts w:ascii="Calibri" w:hAnsi="Calibri"/>
                <w:sz w:val="22"/>
              </w:rPr>
              <w:t>N/A (FY guide only)</w:t>
            </w:r>
          </w:p>
        </w:tc>
      </w:tr>
      <w:tr>
        <w:tc>
          <w:tcPr>
            <w:tcW w:type="dxa" w:w="1234"/>
          </w:tcPr>
          <w:p>
            <w:r>
              <w:rPr>
                <w:rFonts w:ascii="Calibri" w:hAnsi="Calibri"/>
                <w:sz w:val="22"/>
              </w:rPr>
              <w:t>Non-GAAP EPS (Diluted)</w:t>
            </w:r>
          </w:p>
        </w:tc>
        <w:tc>
          <w:tcPr>
            <w:tcW w:type="dxa" w:w="1234"/>
          </w:tcPr>
          <w:p>
            <w:r>
              <w:rPr>
                <w:rFonts w:ascii="Calibri" w:hAnsi="Calibri"/>
                <w:sz w:val="22"/>
              </w:rPr>
              <w:t>$1.61</w:t>
            </w:r>
          </w:p>
        </w:tc>
        <w:tc>
          <w:tcPr>
            <w:tcW w:type="dxa" w:w="1234"/>
          </w:tcPr>
          <w:p>
            <w:r>
              <w:rPr>
                <w:rFonts w:ascii="Calibri" w:hAnsi="Calibri"/>
                <w:sz w:val="22"/>
              </w:rPr>
              <w:t>$1.73</w:t>
            </w:r>
          </w:p>
        </w:tc>
        <w:tc>
          <w:tcPr>
            <w:tcW w:type="dxa" w:w="1234"/>
          </w:tcPr>
          <w:p>
            <w:r>
              <w:rPr>
                <w:rFonts w:ascii="Calibri" w:hAnsi="Calibri"/>
                <w:sz w:val="22"/>
              </w:rPr>
              <w:t>$1.58</w:t>
            </w:r>
          </w:p>
        </w:tc>
        <w:tc>
          <w:tcPr>
            <w:tcW w:type="dxa" w:w="1234"/>
          </w:tcPr>
          <w:p>
            <w:r>
              <w:rPr>
                <w:rFonts w:ascii="Calibri" w:hAnsi="Calibri"/>
                <w:sz w:val="22"/>
              </w:rPr>
              <w:t>−8.7% YoY</w:t>
            </w:r>
          </w:p>
        </w:tc>
        <w:tc>
          <w:tcPr>
            <w:tcW w:type="dxa" w:w="1234"/>
          </w:tcPr>
          <w:p>
            <w:r>
              <w:rPr>
                <w:rFonts w:ascii="Calibri" w:hAnsi="Calibri"/>
                <w:sz w:val="22"/>
              </w:rPr>
              <w:t>$1.45–$1.65</w:t>
            </w:r>
          </w:p>
        </w:tc>
        <w:tc>
          <w:tcPr>
            <w:tcW w:type="dxa" w:w="1234"/>
          </w:tcPr>
          <w:p>
            <w:r>
              <w:rPr>
                <w:rFonts w:ascii="Calibri" w:hAnsi="Calibri"/>
                <w:sz w:val="22"/>
              </w:rPr>
              <w:t>+1.9% vs. $1.55 mid</w:t>
            </w:r>
          </w:p>
        </w:tc>
      </w:tr>
      <w:tr>
        <w:tc>
          <w:tcPr>
            <w:tcW w:type="dxa" w:w="1234"/>
          </w:tcPr>
          <w:p>
            <w:r>
              <w:rPr>
                <w:rFonts w:ascii="Calibri" w:hAnsi="Calibri"/>
                <w:sz w:val="22"/>
              </w:rPr>
              <w:t>Non-GAAP Operating Income ($M)</w:t>
            </w:r>
          </w:p>
        </w:tc>
        <w:tc>
          <w:tcPr>
            <w:tcW w:type="dxa" w:w="1234"/>
          </w:tcPr>
          <w:p>
            <w:r>
              <w:rPr>
                <w:rFonts w:ascii="Calibri" w:hAnsi="Calibri"/>
                <w:sz w:val="22"/>
              </w:rPr>
              <w:t>$282.8</w:t>
            </w:r>
          </w:p>
        </w:tc>
        <w:tc>
          <w:tcPr>
            <w:tcW w:type="dxa" w:w="1234"/>
          </w:tcPr>
          <w:p>
            <w:r>
              <w:rPr>
                <w:rFonts w:ascii="Calibri" w:hAnsi="Calibri"/>
                <w:sz w:val="22"/>
              </w:rPr>
              <w:t>$308.6</w:t>
            </w:r>
          </w:p>
        </w:tc>
        <w:tc>
          <w:tcPr>
            <w:tcW w:type="dxa" w:w="1234"/>
          </w:tcPr>
          <w:p>
            <w:r>
              <w:rPr>
                <w:rFonts w:ascii="Calibri" w:hAnsi="Calibri"/>
                <w:sz w:val="22"/>
              </w:rPr>
              <w:t>$278.2</w:t>
            </w:r>
          </w:p>
        </w:tc>
        <w:tc>
          <w:tcPr>
            <w:tcW w:type="dxa" w:w="1234"/>
          </w:tcPr>
          <w:p>
            <w:r>
              <w:rPr>
                <w:rFonts w:ascii="Calibri" w:hAnsi="Calibri"/>
                <w:sz w:val="22"/>
              </w:rPr>
              <w:t>−9.9% YoY</w:t>
            </w:r>
          </w:p>
        </w:tc>
        <w:tc>
          <w:tcPr>
            <w:tcW w:type="dxa" w:w="1234"/>
          </w:tcPr>
          <w:p>
            <w:r>
              <w:rPr>
                <w:rFonts w:ascii="Calibri" w:hAnsi="Calibri"/>
                <w:sz w:val="22"/>
              </w:rPr>
              <w:t>25–26% non-GAAP op. margin</w:t>
            </w:r>
          </w:p>
        </w:tc>
        <w:tc>
          <w:tcPr>
            <w:tcW w:type="dxa" w:w="1234"/>
          </w:tcPr>
          <w:p>
            <w:r>
              <w:rPr>
                <w:rFonts w:ascii="Calibri" w:hAnsi="Calibri"/>
                <w:sz w:val="22"/>
              </w:rPr>
              <w:t>~25.5% implied margin</w:t>
            </w:r>
          </w:p>
        </w:tc>
      </w:tr>
      <w:tr>
        <w:tc>
          <w:tcPr>
            <w:tcW w:type="dxa" w:w="1234"/>
          </w:tcPr>
          <w:p>
            <w:r>
              <w:rPr>
                <w:rFonts w:ascii="Calibri" w:hAnsi="Calibri"/>
                <w:sz w:val="22"/>
              </w:rPr>
              <w:t>CapEx — Accrual Basis ($M)</w:t>
            </w:r>
          </w:p>
        </w:tc>
        <w:tc>
          <w:tcPr>
            <w:tcW w:type="dxa" w:w="1234"/>
          </w:tcPr>
          <w:p>
            <w:r>
              <w:rPr>
                <w:rFonts w:ascii="Calibri" w:hAnsi="Calibri"/>
                <w:sz w:val="22"/>
              </w:rPr>
              <w:t>$206.3</w:t>
            </w:r>
          </w:p>
        </w:tc>
        <w:tc>
          <w:tcPr>
            <w:tcW w:type="dxa" w:w="1234"/>
          </w:tcPr>
          <w:p>
            <w:r>
              <w:rPr>
                <w:rFonts w:ascii="Calibri" w:hAnsi="Calibri"/>
                <w:sz w:val="22"/>
              </w:rPr>
              <w:t>$214.2</w:t>
            </w:r>
          </w:p>
        </w:tc>
        <w:tc>
          <w:tcPr>
            <w:tcW w:type="dxa" w:w="1234"/>
          </w:tcPr>
          <w:p>
            <w:r>
              <w:rPr>
                <w:rFonts w:ascii="Calibri" w:hAnsi="Calibri"/>
                <w:sz w:val="22"/>
              </w:rPr>
              <w:t>$401.2</w:t>
            </w:r>
          </w:p>
        </w:tc>
        <w:tc>
          <w:tcPr>
            <w:tcW w:type="dxa" w:w="1234"/>
          </w:tcPr>
          <w:p>
            <w:r>
              <w:rPr>
                <w:rFonts w:ascii="Calibri" w:hAnsi="Calibri"/>
                <w:sz w:val="22"/>
              </w:rPr>
              <w:t>+87.3% YoY</w:t>
            </w:r>
          </w:p>
        </w:tc>
        <w:tc>
          <w:tcPr>
            <w:tcW w:type="dxa" w:w="1234"/>
          </w:tcPr>
          <w:p>
            <w:r>
              <w:rPr>
                <w:rFonts w:ascii="Calibri" w:hAnsi="Calibri"/>
                <w:sz w:val="22"/>
              </w:rPr>
              <w:t>$433–$453M (40–41% of rev)</w:t>
            </w:r>
          </w:p>
        </w:tc>
        <w:tc>
          <w:tcPr>
            <w:tcW w:type="dxa" w:w="1234"/>
          </w:tcPr>
          <w:p>
            <w:r>
              <w:rPr>
                <w:rFonts w:ascii="Calibri" w:hAnsi="Calibri"/>
                <w:sz w:val="22"/>
              </w:rPr>
              <w:t>−10.8% vs. $443M mid</w:t>
            </w:r>
          </w:p>
        </w:tc>
      </w:tr>
    </w:tbl>
    <w:p>
      <w:r>
        <w:rPr>
          <w:rFonts w:ascii="Calibri" w:hAnsi="Calibri"/>
          <w:i/>
          <w:color w:val="525866"/>
          <w:sz w:val="22"/>
        </w:rPr>
        <w:t>Source: Visible Alpha Consensus and Actuals Data; Q1 2026 Earnings Release (May 7, 2026); Q1 2026 Earnings Call Transcript (May 7, 2026).</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Top KPI #1: Total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$1,073.6</w:t>
            </w:r>
          </w:p>
        </w:tc>
        <w:tc>
          <w:tcPr>
            <w:tcW w:type="dxa" w:w="1728"/>
          </w:tcPr>
          <w:p>
            <w:r>
              <w:rPr>
                <w:rFonts w:ascii="Calibri" w:hAnsi="Calibri"/>
                <w:sz w:val="22"/>
              </w:rPr>
              <w:t>$1,073.9</w:t>
            </w:r>
          </w:p>
        </w:tc>
        <w:tc>
          <w:tcPr>
            <w:tcW w:type="dxa" w:w="1728"/>
          </w:tcPr>
          <w:p>
            <w:r>
              <w:rPr>
                <w:rFonts w:ascii="Calibri" w:hAnsi="Calibri"/>
                <w:sz w:val="22"/>
              </w:rPr>
              <w:t>0.0%</w:t>
            </w:r>
          </w:p>
        </w:tc>
        <w:tc>
          <w:tcPr>
            <w:tcW w:type="dxa" w:w="1728"/>
          </w:tcPr>
          <w:p>
            <w:r>
              <w:rPr>
                <w:rFonts w:ascii="Calibri" w:hAnsi="Calibri"/>
                <w:sz w:val="22"/>
              </w:rPr>
              <w:t>In Line</w:t>
            </w:r>
          </w:p>
        </w:tc>
      </w:tr>
      <w:tr>
        <w:tc>
          <w:tcPr>
            <w:tcW w:type="dxa" w:w="1728"/>
          </w:tcPr>
          <w:p>
            <w:r>
              <w:rPr>
                <w:rFonts w:ascii="Calibri" w:hAnsi="Calibri"/>
                <w:sz w:val="22"/>
              </w:rPr>
              <w:t>Q4 2025</w:t>
            </w:r>
          </w:p>
        </w:tc>
        <w:tc>
          <w:tcPr>
            <w:tcW w:type="dxa" w:w="1728"/>
          </w:tcPr>
          <w:p>
            <w:r>
              <w:rPr>
                <w:rFonts w:ascii="Calibri" w:hAnsi="Calibri"/>
                <w:sz w:val="22"/>
              </w:rPr>
              <w:t>$1,094.9</w:t>
            </w:r>
          </w:p>
        </w:tc>
        <w:tc>
          <w:tcPr>
            <w:tcW w:type="dxa" w:w="1728"/>
          </w:tcPr>
          <w:p>
            <w:r>
              <w:rPr>
                <w:rFonts w:ascii="Calibri" w:hAnsi="Calibri"/>
                <w:sz w:val="22"/>
              </w:rPr>
              <w:t>$1,077.2</w:t>
            </w:r>
          </w:p>
        </w:tc>
        <w:tc>
          <w:tcPr>
            <w:tcW w:type="dxa" w:w="1728"/>
          </w:tcPr>
          <w:p>
            <w:r>
              <w:rPr>
                <w:rFonts w:ascii="Calibri" w:hAnsi="Calibri"/>
                <w:sz w:val="22"/>
              </w:rPr>
              <w:t>+1.6%</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$1,054.6</w:t>
            </w:r>
          </w:p>
        </w:tc>
        <w:tc>
          <w:tcPr>
            <w:tcW w:type="dxa" w:w="1728"/>
          </w:tcPr>
          <w:p>
            <w:r>
              <w:rPr>
                <w:rFonts w:ascii="Calibri" w:hAnsi="Calibri"/>
                <w:sz w:val="22"/>
              </w:rPr>
              <w:t>$1,044.0</w:t>
            </w:r>
          </w:p>
        </w:tc>
        <w:tc>
          <w:tcPr>
            <w:tcW w:type="dxa" w:w="1728"/>
          </w:tcPr>
          <w:p>
            <w:r>
              <w:rPr>
                <w:rFonts w:ascii="Calibri" w:hAnsi="Calibri"/>
                <w:sz w:val="22"/>
              </w:rPr>
              <w:t>+1.0%</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$1,043.5</w:t>
            </w:r>
          </w:p>
        </w:tc>
        <w:tc>
          <w:tcPr>
            <w:tcW w:type="dxa" w:w="1728"/>
          </w:tcPr>
          <w:p>
            <w:r>
              <w:rPr>
                <w:rFonts w:ascii="Calibri" w:hAnsi="Calibri"/>
                <w:sz w:val="22"/>
              </w:rPr>
              <w:t>$1,020.8</w:t>
            </w:r>
          </w:p>
        </w:tc>
        <w:tc>
          <w:tcPr>
            <w:tcW w:type="dxa" w:w="1728"/>
          </w:tcPr>
          <w:p>
            <w:r>
              <w:rPr>
                <w:rFonts w:ascii="Calibri" w:hAnsi="Calibri"/>
                <w:sz w:val="22"/>
              </w:rPr>
              <w:t>+2.2%</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$1,015.1</w:t>
            </w:r>
          </w:p>
        </w:tc>
        <w:tc>
          <w:tcPr>
            <w:tcW w:type="dxa" w:w="1728"/>
          </w:tcPr>
          <w:p>
            <w:r>
              <w:rPr>
                <w:rFonts w:ascii="Calibri" w:hAnsi="Calibri"/>
                <w:sz w:val="22"/>
              </w:rPr>
              <w:t>$1,012.0</w:t>
            </w:r>
          </w:p>
        </w:tc>
        <w:tc>
          <w:tcPr>
            <w:tcW w:type="dxa" w:w="1728"/>
          </w:tcPr>
          <w:p>
            <w:r>
              <w:rPr>
                <w:rFonts w:ascii="Calibri" w:hAnsi="Calibri"/>
                <w:sz w:val="22"/>
              </w:rPr>
              <w:t>+0.3%</w:t>
            </w:r>
          </w:p>
        </w:tc>
        <w:tc>
          <w:tcPr>
            <w:tcW w:type="dxa" w:w="1728"/>
          </w:tcPr>
          <w:p>
            <w:r>
              <w:rPr>
                <w:rFonts w:ascii="Calibri" w:hAnsi="Calibri"/>
                <w:sz w:val="22"/>
              </w:rPr>
              <w:t>In Line</w:t>
            </w:r>
          </w:p>
        </w:tc>
      </w:tr>
      <w:tr>
        <w:tc>
          <w:tcPr>
            <w:tcW w:type="dxa" w:w="1728"/>
          </w:tcPr>
          <w:p>
            <w:r>
              <w:rPr>
                <w:rFonts w:ascii="Calibri" w:hAnsi="Calibri"/>
                <w:sz w:val="22"/>
              </w:rPr>
              <w:t>Q4 2024</w:t>
            </w:r>
          </w:p>
        </w:tc>
        <w:tc>
          <w:tcPr>
            <w:tcW w:type="dxa" w:w="1728"/>
          </w:tcPr>
          <w:p>
            <w:r>
              <w:rPr>
                <w:rFonts w:ascii="Calibri" w:hAnsi="Calibri"/>
                <w:sz w:val="22"/>
              </w:rPr>
              <w:t>$1,019.9</w:t>
            </w:r>
          </w:p>
        </w:tc>
        <w:tc>
          <w:tcPr>
            <w:tcW w:type="dxa" w:w="1728"/>
          </w:tcPr>
          <w:p>
            <w:r>
              <w:rPr>
                <w:rFonts w:ascii="Calibri" w:hAnsi="Calibri"/>
                <w:sz w:val="22"/>
              </w:rPr>
              <w:t>$1,015.9</w:t>
            </w:r>
          </w:p>
        </w:tc>
        <w:tc>
          <w:tcPr>
            <w:tcW w:type="dxa" w:w="1728"/>
          </w:tcPr>
          <w:p>
            <w:r>
              <w:rPr>
                <w:rFonts w:ascii="Calibri" w:hAnsi="Calibri"/>
                <w:sz w:val="22"/>
              </w:rPr>
              <w:t>+0.4%</w:t>
            </w:r>
          </w:p>
        </w:tc>
        <w:tc>
          <w:tcPr>
            <w:tcW w:type="dxa" w:w="1728"/>
          </w:tcPr>
          <w:p>
            <w:r>
              <w:rPr>
                <w:rFonts w:ascii="Calibri" w:hAnsi="Calibri"/>
                <w:sz w:val="22"/>
              </w:rPr>
              <w:t>In Line</w:t>
            </w:r>
          </w:p>
        </w:tc>
      </w:tr>
      <w:tr>
        <w:tc>
          <w:tcPr>
            <w:tcW w:type="dxa" w:w="1728"/>
          </w:tcPr>
          <w:p>
            <w:r>
              <w:rPr>
                <w:rFonts w:ascii="Calibri" w:hAnsi="Calibri"/>
                <w:sz w:val="22"/>
              </w:rPr>
              <w:t>Q3 2024</w:t>
            </w:r>
          </w:p>
        </w:tc>
        <w:tc>
          <w:tcPr>
            <w:tcW w:type="dxa" w:w="1728"/>
          </w:tcPr>
          <w:p>
            <w:r>
              <w:rPr>
                <w:rFonts w:ascii="Calibri" w:hAnsi="Calibri"/>
                <w:sz w:val="22"/>
              </w:rPr>
              <w:t>$1,004.7</w:t>
            </w:r>
          </w:p>
        </w:tc>
        <w:tc>
          <w:tcPr>
            <w:tcW w:type="dxa" w:w="1728"/>
          </w:tcPr>
          <w:p>
            <w:r>
              <w:rPr>
                <w:rFonts w:ascii="Calibri" w:hAnsi="Calibri"/>
                <w:sz w:val="22"/>
              </w:rPr>
              <w:t>$1,000.4</w:t>
            </w:r>
          </w:p>
        </w:tc>
        <w:tc>
          <w:tcPr>
            <w:tcW w:type="dxa" w:w="1728"/>
          </w:tcPr>
          <w:p>
            <w:r>
              <w:rPr>
                <w:rFonts w:ascii="Calibri" w:hAnsi="Calibri"/>
                <w:sz w:val="22"/>
              </w:rPr>
              <w:t>+0.4%</w:t>
            </w:r>
          </w:p>
        </w:tc>
        <w:tc>
          <w:tcPr>
            <w:tcW w:type="dxa" w:w="1728"/>
          </w:tcPr>
          <w:p>
            <w:r>
              <w:rPr>
                <w:rFonts w:ascii="Calibri" w:hAnsi="Calibri"/>
                <w:sz w:val="22"/>
              </w:rPr>
              <w:t>In Line</w:t>
            </w:r>
          </w:p>
        </w:tc>
      </w:tr>
      <w:tr>
        <w:tc>
          <w:tcPr>
            <w:tcW w:type="dxa" w:w="1728"/>
          </w:tcPr>
          <w:p>
            <w:r>
              <w:rPr>
                <w:rFonts w:ascii="Calibri" w:hAnsi="Calibri"/>
                <w:sz w:val="22"/>
              </w:rPr>
              <w:t>Q2 2024</w:t>
            </w:r>
          </w:p>
        </w:tc>
        <w:tc>
          <w:tcPr>
            <w:tcW w:type="dxa" w:w="1728"/>
          </w:tcPr>
          <w:p>
            <w:r>
              <w:rPr>
                <w:rFonts w:ascii="Calibri" w:hAnsi="Calibri"/>
                <w:sz w:val="22"/>
              </w:rPr>
              <w:t>$979.6</w:t>
            </w:r>
          </w:p>
        </w:tc>
        <w:tc>
          <w:tcPr>
            <w:tcW w:type="dxa" w:w="1728"/>
          </w:tcPr>
          <w:p>
            <w:r>
              <w:rPr>
                <w:rFonts w:ascii="Calibri" w:hAnsi="Calibri"/>
                <w:sz w:val="22"/>
              </w:rPr>
              <w:t>$977.5</w:t>
            </w:r>
          </w:p>
        </w:tc>
        <w:tc>
          <w:tcPr>
            <w:tcW w:type="dxa" w:w="1728"/>
          </w:tcPr>
          <w:p>
            <w:r>
              <w:rPr>
                <w:rFonts w:ascii="Calibri" w:hAnsi="Calibri"/>
                <w:sz w:val="22"/>
              </w:rPr>
              <w:t>+0.2%</w:t>
            </w:r>
          </w:p>
        </w:tc>
        <w:tc>
          <w:tcPr>
            <w:tcW w:type="dxa" w:w="1728"/>
          </w:tcPr>
          <w:p>
            <w:r>
              <w:rPr>
                <w:rFonts w:ascii="Calibri" w:hAnsi="Calibri"/>
                <w:sz w:val="22"/>
              </w:rPr>
              <w:t>In Line</w:t>
            </w:r>
          </w:p>
        </w:tc>
      </w:tr>
    </w:tbl>
    <w:p>
      <w:pPr>
        <w:pStyle w:val="Heading4"/>
      </w:pPr>
      <w:r>
        <w:rPr>
          <w:rFonts w:ascii="Calibri" w:hAnsi="Calibri"/>
          <w:b/>
          <w:color w:val="3B4259"/>
          <w:sz w:val="22"/>
        </w:rPr>
        <w:t>Top KPI #2: Non-GAAP EPS (Diluted)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$1.61</w:t>
            </w:r>
          </w:p>
        </w:tc>
        <w:tc>
          <w:tcPr>
            <w:tcW w:type="dxa" w:w="1728"/>
          </w:tcPr>
          <w:p>
            <w:r>
              <w:rPr>
                <w:rFonts w:ascii="Calibri" w:hAnsi="Calibri"/>
                <w:sz w:val="22"/>
              </w:rPr>
              <w:t>$1.60</w:t>
            </w:r>
          </w:p>
        </w:tc>
        <w:tc>
          <w:tcPr>
            <w:tcW w:type="dxa" w:w="1728"/>
          </w:tcPr>
          <w:p>
            <w:r>
              <w:rPr>
                <w:rFonts w:ascii="Calibri" w:hAnsi="Calibri"/>
                <w:sz w:val="22"/>
              </w:rPr>
              <w:t>+0.6%</w:t>
            </w:r>
          </w:p>
        </w:tc>
        <w:tc>
          <w:tcPr>
            <w:tcW w:type="dxa" w:w="1728"/>
          </w:tcPr>
          <w:p>
            <w:r>
              <w:rPr>
                <w:rFonts w:ascii="Calibri" w:hAnsi="Calibri"/>
                <w:sz w:val="22"/>
              </w:rPr>
              <w:t>In Line</w:t>
            </w:r>
          </w:p>
        </w:tc>
      </w:tr>
      <w:tr>
        <w:tc>
          <w:tcPr>
            <w:tcW w:type="dxa" w:w="1728"/>
          </w:tcPr>
          <w:p>
            <w:r>
              <w:rPr>
                <w:rFonts w:ascii="Calibri" w:hAnsi="Calibri"/>
                <w:sz w:val="22"/>
              </w:rPr>
              <w:t>Q4 2025</w:t>
            </w:r>
          </w:p>
        </w:tc>
        <w:tc>
          <w:tcPr>
            <w:tcW w:type="dxa" w:w="1728"/>
          </w:tcPr>
          <w:p>
            <w:r>
              <w:rPr>
                <w:rFonts w:ascii="Calibri" w:hAnsi="Calibri"/>
                <w:sz w:val="22"/>
              </w:rPr>
              <w:t>$1.84</w:t>
            </w:r>
          </w:p>
        </w:tc>
        <w:tc>
          <w:tcPr>
            <w:tcW w:type="dxa" w:w="1728"/>
          </w:tcPr>
          <w:p>
            <w:r>
              <w:rPr>
                <w:rFonts w:ascii="Calibri" w:hAnsi="Calibri"/>
                <w:sz w:val="22"/>
              </w:rPr>
              <w:t>$1.77</w:t>
            </w:r>
          </w:p>
        </w:tc>
        <w:tc>
          <w:tcPr>
            <w:tcW w:type="dxa" w:w="1728"/>
          </w:tcPr>
          <w:p>
            <w:r>
              <w:rPr>
                <w:rFonts w:ascii="Calibri" w:hAnsi="Calibri"/>
                <w:sz w:val="22"/>
              </w:rPr>
              <w:t>+4.0%</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$1.86</w:t>
            </w:r>
          </w:p>
        </w:tc>
        <w:tc>
          <w:tcPr>
            <w:tcW w:type="dxa" w:w="1728"/>
          </w:tcPr>
          <w:p>
            <w:r>
              <w:rPr>
                <w:rFonts w:ascii="Calibri" w:hAnsi="Calibri"/>
                <w:sz w:val="22"/>
              </w:rPr>
              <w:t>$1.64</w:t>
            </w:r>
          </w:p>
        </w:tc>
        <w:tc>
          <w:tcPr>
            <w:tcW w:type="dxa" w:w="1728"/>
          </w:tcPr>
          <w:p>
            <w:r>
              <w:rPr>
                <w:rFonts w:ascii="Calibri" w:hAnsi="Calibri"/>
                <w:sz w:val="22"/>
              </w:rPr>
              <w:t>+13.4%</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$1.73</w:t>
            </w:r>
          </w:p>
        </w:tc>
        <w:tc>
          <w:tcPr>
            <w:tcW w:type="dxa" w:w="1728"/>
          </w:tcPr>
          <w:p>
            <w:r>
              <w:rPr>
                <w:rFonts w:ascii="Calibri" w:hAnsi="Calibri"/>
                <w:sz w:val="22"/>
              </w:rPr>
              <w:t>$1.56</w:t>
            </w:r>
          </w:p>
        </w:tc>
        <w:tc>
          <w:tcPr>
            <w:tcW w:type="dxa" w:w="1728"/>
          </w:tcPr>
          <w:p>
            <w:r>
              <w:rPr>
                <w:rFonts w:ascii="Calibri" w:hAnsi="Calibri"/>
                <w:sz w:val="22"/>
              </w:rPr>
              <w:t>+11.0%</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$1.70</w:t>
            </w:r>
          </w:p>
        </w:tc>
        <w:tc>
          <w:tcPr>
            <w:tcW w:type="dxa" w:w="1728"/>
          </w:tcPr>
          <w:p>
            <w:r>
              <w:rPr>
                <w:rFonts w:ascii="Calibri" w:hAnsi="Calibri"/>
                <w:sz w:val="22"/>
              </w:rPr>
              <w:t>$1.57</w:t>
            </w:r>
          </w:p>
        </w:tc>
        <w:tc>
          <w:tcPr>
            <w:tcW w:type="dxa" w:w="1728"/>
          </w:tcPr>
          <w:p>
            <w:r>
              <w:rPr>
                <w:rFonts w:ascii="Calibri" w:hAnsi="Calibri"/>
                <w:sz w:val="22"/>
              </w:rPr>
              <w:t>+8.3%</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$1.66</w:t>
            </w:r>
          </w:p>
        </w:tc>
        <w:tc>
          <w:tcPr>
            <w:tcW w:type="dxa" w:w="1728"/>
          </w:tcPr>
          <w:p>
            <w:r>
              <w:rPr>
                <w:rFonts w:ascii="Calibri" w:hAnsi="Calibri"/>
                <w:sz w:val="22"/>
              </w:rPr>
              <w:t>$1.52</w:t>
            </w:r>
          </w:p>
        </w:tc>
        <w:tc>
          <w:tcPr>
            <w:tcW w:type="dxa" w:w="1728"/>
          </w:tcPr>
          <w:p>
            <w:r>
              <w:rPr>
                <w:rFonts w:ascii="Calibri" w:hAnsi="Calibri"/>
                <w:sz w:val="22"/>
              </w:rPr>
              <w:t>+9.2%</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$1.59</w:t>
            </w:r>
          </w:p>
        </w:tc>
        <w:tc>
          <w:tcPr>
            <w:tcW w:type="dxa" w:w="1728"/>
          </w:tcPr>
          <w:p>
            <w:r>
              <w:rPr>
                <w:rFonts w:ascii="Calibri" w:hAnsi="Calibri"/>
                <w:sz w:val="22"/>
              </w:rPr>
              <w:t>$1.59</w:t>
            </w:r>
          </w:p>
        </w:tc>
        <w:tc>
          <w:tcPr>
            <w:tcW w:type="dxa" w:w="1728"/>
          </w:tcPr>
          <w:p>
            <w:r>
              <w:rPr>
                <w:rFonts w:ascii="Calibri" w:hAnsi="Calibri"/>
                <w:sz w:val="22"/>
              </w:rPr>
              <w:t>0.0%</w:t>
            </w:r>
          </w:p>
        </w:tc>
        <w:tc>
          <w:tcPr>
            <w:tcW w:type="dxa" w:w="1728"/>
          </w:tcPr>
          <w:p>
            <w:r>
              <w:rPr>
                <w:rFonts w:ascii="Calibri" w:hAnsi="Calibri"/>
                <w:sz w:val="22"/>
              </w:rPr>
              <w:t>In Line</w:t>
            </w:r>
          </w:p>
        </w:tc>
      </w:tr>
      <w:tr>
        <w:tc>
          <w:tcPr>
            <w:tcW w:type="dxa" w:w="1728"/>
          </w:tcPr>
          <w:p>
            <w:r>
              <w:rPr>
                <w:rFonts w:ascii="Calibri" w:hAnsi="Calibri"/>
                <w:sz w:val="22"/>
              </w:rPr>
              <w:t>Q2 2024</w:t>
            </w:r>
          </w:p>
        </w:tc>
        <w:tc>
          <w:tcPr>
            <w:tcW w:type="dxa" w:w="1728"/>
          </w:tcPr>
          <w:p>
            <w:r>
              <w:rPr>
                <w:rFonts w:ascii="Calibri" w:hAnsi="Calibri"/>
                <w:sz w:val="22"/>
              </w:rPr>
              <w:t>$1.58</w:t>
            </w:r>
          </w:p>
        </w:tc>
        <w:tc>
          <w:tcPr>
            <w:tcW w:type="dxa" w:w="1728"/>
          </w:tcPr>
          <w:p>
            <w:r>
              <w:rPr>
                <w:rFonts w:ascii="Calibri" w:hAnsi="Calibri"/>
                <w:sz w:val="22"/>
              </w:rPr>
              <w:t>$1.53</w:t>
            </w:r>
          </w:p>
        </w:tc>
        <w:tc>
          <w:tcPr>
            <w:tcW w:type="dxa" w:w="1728"/>
          </w:tcPr>
          <w:p>
            <w:r>
              <w:rPr>
                <w:rFonts w:ascii="Calibri" w:hAnsi="Calibri"/>
                <w:sz w:val="22"/>
              </w:rPr>
              <w:t>+3.3%</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AKAM has beaten non-GAAP EPS consensus in 6 of the last 8 quarters, often by a meaningful margin — however, Q1 2026 and Q3 2024 were in-line prints, and the Q2 2026 EPS guide is unusually wide ($1.45–$1.65), reflecting genuine uncertainty around GPU delivery timing and associated costs. Revenue beats have been modest and consistent, suggesting a conservative guidance philosophy on the top line.</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shifted materially since Q4 2025 — the Q1 2026 earnings call delivered a </w:t>
      </w:r>
      <w:r>
        <w:rPr>
          <w:rFonts w:ascii="Calibri" w:hAnsi="Calibri"/>
          <w:b/>
          <w:color w:val="525866"/>
          <w:sz w:val="22"/>
        </w:rPr>
        <w:t>step-change in ambition</w:t>
      </w:r>
      <w:r>
        <w:rPr>
          <w:rFonts w:ascii="Calibri" w:hAnsi="Calibri"/>
          <w:color w:val="525866"/>
          <w:sz w:val="22"/>
        </w:rPr>
        <w:t xml:space="preserve"> with the $1.8B CIS deal, raised CIS growth outlook, and a 2027 double-digit revenue growth target, while simultaneously widening the EPS range and dramatically increasing CapEx guidance. No post-earnings guidance revisions have been issued since May 7.</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 May 7,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Revenue</w:t>
            </w:r>
          </w:p>
        </w:tc>
        <w:tc>
          <w:tcPr>
            <w:tcW w:type="dxa" w:w="1728"/>
          </w:tcPr>
          <w:p>
            <w:r>
              <w:rPr>
                <w:rFonts w:ascii="Calibri" w:hAnsi="Calibri"/>
                <w:sz w:val="22"/>
              </w:rPr>
              <w:t>$1,075–$1,100M</w:t>
            </w:r>
          </w:p>
        </w:tc>
        <w:tc>
          <w:tcPr>
            <w:tcW w:type="dxa" w:w="1728"/>
          </w:tcPr>
          <w:p>
            <w:r>
              <w:rPr>
                <w:rFonts w:ascii="Calibri" w:hAnsi="Calibri"/>
                <w:sz w:val="22"/>
              </w:rPr>
              <w:t>—</w:t>
            </w:r>
          </w:p>
        </w:tc>
        <w:tc>
          <w:tcPr>
            <w:tcW w:type="dxa" w:w="1728"/>
          </w:tcPr>
          <w:p>
            <w:r>
              <w:rPr>
                <w:rFonts w:ascii="Calibri" w:hAnsi="Calibri"/>
                <w:sz w:val="22"/>
              </w:rPr>
              <w:t>$1,093.1M</w:t>
            </w:r>
          </w:p>
        </w:tc>
        <w:tc>
          <w:tcPr>
            <w:tcW w:type="dxa" w:w="1728"/>
          </w:tcPr>
          <w:p>
            <w:r>
              <w:rPr>
                <w:rFonts w:ascii="Calibri" w:hAnsi="Calibri"/>
                <w:sz w:val="22"/>
              </w:rPr>
              <w:t>No post-earnings revision; consensus near high end of range</w:t>
            </w:r>
          </w:p>
        </w:tc>
      </w:tr>
      <w:tr>
        <w:tc>
          <w:tcPr>
            <w:tcW w:type="dxa" w:w="1728"/>
          </w:tcPr>
          <w:p>
            <w:r>
              <w:rPr>
                <w:rFonts w:ascii="Calibri" w:hAnsi="Calibri"/>
                <w:sz w:val="22"/>
              </w:rPr>
              <w:t>Q2 2026 Non-GAAP EPS</w:t>
            </w:r>
          </w:p>
        </w:tc>
        <w:tc>
          <w:tcPr>
            <w:tcW w:type="dxa" w:w="1728"/>
          </w:tcPr>
          <w:p>
            <w:r>
              <w:rPr>
                <w:rFonts w:ascii="Calibri" w:hAnsi="Calibri"/>
                <w:sz w:val="22"/>
              </w:rPr>
              <w:t>$1.45–$1.65</w:t>
            </w:r>
          </w:p>
        </w:tc>
        <w:tc>
          <w:tcPr>
            <w:tcW w:type="dxa" w:w="1728"/>
          </w:tcPr>
          <w:p>
            <w:r>
              <w:rPr>
                <w:rFonts w:ascii="Calibri" w:hAnsi="Calibri"/>
                <w:sz w:val="22"/>
              </w:rPr>
              <w:t>—</w:t>
            </w:r>
          </w:p>
        </w:tc>
        <w:tc>
          <w:tcPr>
            <w:tcW w:type="dxa" w:w="1728"/>
          </w:tcPr>
          <w:p>
            <w:r>
              <w:rPr>
                <w:rFonts w:ascii="Calibri" w:hAnsi="Calibri"/>
                <w:sz w:val="22"/>
              </w:rPr>
              <w:t>$1.58</w:t>
            </w:r>
          </w:p>
        </w:tc>
        <w:tc>
          <w:tcPr>
            <w:tcW w:type="dxa" w:w="1728"/>
          </w:tcPr>
          <w:p>
            <w:r>
              <w:rPr>
                <w:rFonts w:ascii="Calibri" w:hAnsi="Calibri"/>
                <w:sz w:val="22"/>
              </w:rPr>
              <w:t>Wide range reflects GPU delivery timing uncertainty; consensus near midpoint</w:t>
            </w:r>
          </w:p>
        </w:tc>
      </w:tr>
      <w:tr>
        <w:tc>
          <w:tcPr>
            <w:tcW w:type="dxa" w:w="1728"/>
          </w:tcPr>
          <w:p>
            <w:r>
              <w:rPr>
                <w:rFonts w:ascii="Calibri" w:hAnsi="Calibri"/>
                <w:sz w:val="22"/>
              </w:rPr>
              <w:t>Q2 2026 Non-GAAP Op. Margin</w:t>
            </w:r>
          </w:p>
        </w:tc>
        <w:tc>
          <w:tcPr>
            <w:tcW w:type="dxa" w:w="1728"/>
          </w:tcPr>
          <w:p>
            <w:r>
              <w:rPr>
                <w:rFonts w:ascii="Calibri" w:hAnsi="Calibri"/>
                <w:sz w:val="22"/>
              </w:rPr>
              <w:t>~25–26%</w:t>
            </w:r>
          </w:p>
        </w:tc>
        <w:tc>
          <w:tcPr>
            <w:tcW w:type="dxa" w:w="1728"/>
          </w:tcPr>
          <w:p>
            <w:r>
              <w:rPr>
                <w:rFonts w:ascii="Calibri" w:hAnsi="Calibri"/>
                <w:sz w:val="22"/>
              </w:rPr>
              <w:t>—</w:t>
            </w:r>
          </w:p>
        </w:tc>
        <w:tc>
          <w:tcPr>
            <w:tcW w:type="dxa" w:w="1728"/>
          </w:tcPr>
          <w:p>
            <w:r>
              <w:rPr>
                <w:rFonts w:ascii="Calibri" w:hAnsi="Calibri"/>
                <w:sz w:val="22"/>
              </w:rPr>
              <w:t>~25.5% implied</w:t>
            </w:r>
          </w:p>
        </w:tc>
        <w:tc>
          <w:tcPr>
            <w:tcW w:type="dxa" w:w="1728"/>
          </w:tcPr>
          <w:p>
            <w:r>
              <w:rPr>
                <w:rFonts w:ascii="Calibri" w:hAnsi="Calibri"/>
                <w:sz w:val="22"/>
              </w:rPr>
              <w:t>Margin compression driven by front-loaded GPU CapEx</w:t>
            </w:r>
          </w:p>
        </w:tc>
      </w:tr>
      <w:tr>
        <w:tc>
          <w:tcPr>
            <w:tcW w:type="dxa" w:w="1728"/>
          </w:tcPr>
          <w:p>
            <w:r>
              <w:rPr>
                <w:rFonts w:ascii="Calibri" w:hAnsi="Calibri"/>
                <w:sz w:val="22"/>
              </w:rPr>
              <w:t>Q2 2026 CapEx</w:t>
            </w:r>
          </w:p>
        </w:tc>
        <w:tc>
          <w:tcPr>
            <w:tcW w:type="dxa" w:w="1728"/>
          </w:tcPr>
          <w:p>
            <w:r>
              <w:rPr>
                <w:rFonts w:ascii="Calibri" w:hAnsi="Calibri"/>
                <w:sz w:val="22"/>
              </w:rPr>
              <w:t>$433–$453M (~40–41% of rev)</w:t>
            </w:r>
          </w:p>
        </w:tc>
        <w:tc>
          <w:tcPr>
            <w:tcW w:type="dxa" w:w="1728"/>
          </w:tcPr>
          <w:p>
            <w:r>
              <w:rPr>
                <w:rFonts w:ascii="Calibri" w:hAnsi="Calibri"/>
                <w:sz w:val="22"/>
              </w:rPr>
              <w:t>—</w:t>
            </w:r>
          </w:p>
        </w:tc>
        <w:tc>
          <w:tcPr>
            <w:tcW w:type="dxa" w:w="1728"/>
          </w:tcPr>
          <w:p>
            <w:r>
              <w:rPr>
                <w:rFonts w:ascii="Calibri" w:hAnsi="Calibri"/>
                <w:sz w:val="22"/>
              </w:rPr>
              <w:t>$401.2M</w:t>
            </w:r>
          </w:p>
        </w:tc>
        <w:tc>
          <w:tcPr>
            <w:tcW w:type="dxa" w:w="1728"/>
          </w:tcPr>
          <w:p>
            <w:r>
              <w:rPr>
                <w:rFonts w:ascii="Calibri" w:hAnsi="Calibri"/>
                <w:sz w:val="22"/>
              </w:rPr>
              <w:t>Consensus below guide midpoint; GPU delivery timing key variable</w:t>
            </w:r>
          </w:p>
        </w:tc>
      </w:tr>
      <w:tr>
        <w:tc>
          <w:tcPr>
            <w:tcW w:type="dxa" w:w="1728"/>
          </w:tcPr>
          <w:p>
            <w:r>
              <w:rPr>
                <w:rFonts w:ascii="Calibri" w:hAnsi="Calibri"/>
                <w:sz w:val="22"/>
              </w:rPr>
              <w:t>FY2026 Revenue</w:t>
            </w:r>
          </w:p>
        </w:tc>
        <w:tc>
          <w:tcPr>
            <w:tcW w:type="dxa" w:w="1728"/>
          </w:tcPr>
          <w:p>
            <w:r>
              <w:rPr>
                <w:rFonts w:ascii="Calibri" w:hAnsi="Calibri"/>
                <w:sz w:val="22"/>
              </w:rPr>
              <w:t>$4,445–$4,550M (+6–8% YoY)</w:t>
            </w:r>
          </w:p>
        </w:tc>
        <w:tc>
          <w:tcPr>
            <w:tcW w:type="dxa" w:w="1728"/>
          </w:tcPr>
          <w:p>
            <w:r>
              <w:rPr>
                <w:rFonts w:ascii="Calibri" w:hAnsi="Calibri"/>
                <w:sz w:val="22"/>
              </w:rPr>
              <w:t>—</w:t>
            </w:r>
          </w:p>
        </w:tc>
        <w:tc>
          <w:tcPr>
            <w:tcW w:type="dxa" w:w="1728"/>
          </w:tcPr>
          <w:p>
            <w:r>
              <w:rPr>
                <w:rFonts w:ascii="Calibri" w:hAnsi="Calibri"/>
                <w:sz w:val="22"/>
              </w:rPr>
              <w:t>$4,501.3M</w:t>
            </w:r>
          </w:p>
        </w:tc>
        <w:tc>
          <w:tcPr>
            <w:tcW w:type="dxa" w:w="1728"/>
          </w:tcPr>
          <w:p>
            <w:r>
              <w:rPr>
                <w:rFonts w:ascii="Calibri" w:hAnsi="Calibri"/>
                <w:sz w:val="22"/>
              </w:rPr>
              <w:t>Consensus near midpoint; stable since Q1 print</w:t>
            </w:r>
          </w:p>
        </w:tc>
      </w:tr>
      <w:tr>
        <w:tc>
          <w:tcPr>
            <w:tcW w:type="dxa" w:w="1728"/>
          </w:tcPr>
          <w:p>
            <w:r>
              <w:rPr>
                <w:rFonts w:ascii="Calibri" w:hAnsi="Calibri"/>
                <w:sz w:val="22"/>
              </w:rPr>
              <w:t>FY2026 Non-GAAP EPS</w:t>
            </w:r>
          </w:p>
        </w:tc>
        <w:tc>
          <w:tcPr>
            <w:tcW w:type="dxa" w:w="1728"/>
          </w:tcPr>
          <w:p>
            <w:r>
              <w:rPr>
                <w:rFonts w:ascii="Calibri" w:hAnsi="Calibri"/>
                <w:sz w:val="22"/>
              </w:rPr>
              <w:t>$6.40–$7.15</w:t>
            </w:r>
          </w:p>
        </w:tc>
        <w:tc>
          <w:tcPr>
            <w:tcW w:type="dxa" w:w="1728"/>
          </w:tcPr>
          <w:p>
            <w:r>
              <w:rPr>
                <w:rFonts w:ascii="Calibri" w:hAnsi="Calibri"/>
                <w:sz w:val="22"/>
              </w:rPr>
              <w:t>—</w:t>
            </w:r>
          </w:p>
        </w:tc>
        <w:tc>
          <w:tcPr>
            <w:tcW w:type="dxa" w:w="1728"/>
          </w:tcPr>
          <w:p>
            <w:r>
              <w:rPr>
                <w:rFonts w:ascii="Calibri" w:hAnsi="Calibri"/>
                <w:sz w:val="22"/>
              </w:rPr>
              <w:t>$6.69</w:t>
            </w:r>
          </w:p>
        </w:tc>
        <w:tc>
          <w:tcPr>
            <w:tcW w:type="dxa" w:w="1728"/>
          </w:tcPr>
          <w:p>
            <w:r>
              <w:rPr>
                <w:rFonts w:ascii="Calibri" w:hAnsi="Calibri"/>
                <w:sz w:val="22"/>
              </w:rPr>
              <w:t>Wide range; consensus near low end, reflecting CapEx-driven margin pressure</w:t>
            </w:r>
          </w:p>
        </w:tc>
      </w:tr>
      <w:tr>
        <w:tc>
          <w:tcPr>
            <w:tcW w:type="dxa" w:w="1728"/>
          </w:tcPr>
          <w:p>
            <w:r>
              <w:rPr>
                <w:rFonts w:ascii="Calibri" w:hAnsi="Calibri"/>
                <w:sz w:val="22"/>
              </w:rPr>
              <w:t>FY2026 Non-GAAP Op. Margin</w:t>
            </w:r>
          </w:p>
        </w:tc>
        <w:tc>
          <w:tcPr>
            <w:tcW w:type="dxa" w:w="1728"/>
          </w:tcPr>
          <w:p>
            <w:r>
              <w:rPr>
                <w:rFonts w:ascii="Calibri" w:hAnsi="Calibri"/>
                <w:sz w:val="22"/>
              </w:rPr>
              <w:t>~26%</w:t>
            </w:r>
          </w:p>
        </w:tc>
        <w:tc>
          <w:tcPr>
            <w:tcW w:type="dxa" w:w="1728"/>
          </w:tcPr>
          <w:p>
            <w:r>
              <w:rPr>
                <w:rFonts w:ascii="Calibri" w:hAnsi="Calibri"/>
                <w:sz w:val="22"/>
              </w:rPr>
              <w:t>—</w:t>
            </w:r>
          </w:p>
        </w:tc>
        <w:tc>
          <w:tcPr>
            <w:tcW w:type="dxa" w:w="1728"/>
          </w:tcPr>
          <w:p>
            <w:r>
              <w:rPr>
                <w:rFonts w:ascii="Calibri" w:hAnsi="Calibri"/>
                <w:sz w:val="22"/>
              </w:rPr>
              <w:t>~26% implied</w:t>
            </w:r>
          </w:p>
        </w:tc>
        <w:tc>
          <w:tcPr>
            <w:tcW w:type="dxa" w:w="1728"/>
          </w:tcPr>
          <w:p>
            <w:r>
              <w:rPr>
                <w:rFonts w:ascii="Calibri" w:hAnsi="Calibri"/>
                <w:sz w:val="22"/>
              </w:rPr>
              <w:t>Narrowed from prior 26–28% range; reflects investment ahead of revenue</w:t>
            </w:r>
          </w:p>
        </w:tc>
      </w:tr>
      <w:tr>
        <w:tc>
          <w:tcPr>
            <w:tcW w:type="dxa" w:w="1728"/>
          </w:tcPr>
          <w:p>
            <w:r>
              <w:rPr>
                <w:rFonts w:ascii="Calibri" w:hAnsi="Calibri"/>
                <w:sz w:val="22"/>
              </w:rPr>
              <w:t>FY2026 CapEx</w:t>
            </w:r>
          </w:p>
        </w:tc>
        <w:tc>
          <w:tcPr>
            <w:tcW w:type="dxa" w:w="1728"/>
          </w:tcPr>
          <w:p>
            <w:r>
              <w:rPr>
                <w:rFonts w:ascii="Calibri" w:hAnsi="Calibri"/>
                <w:sz w:val="22"/>
              </w:rPr>
              <w:t>~40–42% of revenue (incl. ~$700M for $1.8B deal)</w:t>
            </w:r>
          </w:p>
        </w:tc>
        <w:tc>
          <w:tcPr>
            <w:tcW w:type="dxa" w:w="1728"/>
          </w:tcPr>
          <w:p>
            <w:r>
              <w:rPr>
                <w:rFonts w:ascii="Calibri" w:hAnsi="Calibri"/>
                <w:sz w:val="22"/>
              </w:rPr>
              <w:t>—</w:t>
            </w:r>
          </w:p>
        </w:tc>
        <w:tc>
          <w:tcPr>
            <w:tcW w:type="dxa" w:w="1728"/>
          </w:tcPr>
          <w:p>
            <w:r>
              <w:rPr>
                <w:rFonts w:ascii="Calibri" w:hAnsi="Calibri"/>
                <w:sz w:val="22"/>
              </w:rPr>
              <w:t>$1,157.2M</w:t>
            </w:r>
          </w:p>
        </w:tc>
        <w:tc>
          <w:tcPr>
            <w:tcW w:type="dxa" w:w="1728"/>
          </w:tcPr>
          <w:p>
            <w:r>
              <w:rPr>
                <w:rFonts w:ascii="Calibri" w:hAnsi="Calibri"/>
                <w:sz w:val="22"/>
              </w:rPr>
              <w:t>↑ Dramatically raised from prior 23–26% guide; driven by landmark CIS deal</w:t>
            </w:r>
          </w:p>
        </w:tc>
      </w:tr>
      <w:tr>
        <w:tc>
          <w:tcPr>
            <w:tcW w:type="dxa" w:w="1728"/>
          </w:tcPr>
          <w:p>
            <w:r>
              <w:rPr>
                <w:rFonts w:ascii="Calibri" w:hAnsi="Calibri"/>
                <w:sz w:val="22"/>
              </w:rPr>
              <w:t>FY2026 CIS Revenue Growth</w:t>
            </w:r>
          </w:p>
        </w:tc>
        <w:tc>
          <w:tcPr>
            <w:tcW w:type="dxa" w:w="1728"/>
          </w:tcPr>
          <w:p>
            <w:r>
              <w:rPr>
                <w:rFonts w:ascii="Calibri" w:hAnsi="Calibri"/>
                <w:sz w:val="22"/>
              </w:rPr>
              <w:t>≥50% YoY constant currency</w:t>
            </w:r>
          </w:p>
        </w:tc>
        <w:tc>
          <w:tcPr>
            <w:tcW w:type="dxa" w:w="1728"/>
          </w:tcPr>
          <w:p>
            <w:r>
              <w:rPr>
                <w:rFonts w:ascii="Calibri" w:hAnsi="Calibri"/>
                <w:sz w:val="22"/>
              </w:rPr>
              <w:t>—</w:t>
            </w:r>
          </w:p>
        </w:tc>
        <w:tc>
          <w:tcPr>
            <w:tcW w:type="dxa" w:w="1728"/>
          </w:tcPr>
          <w:p>
            <w:r>
              <w:rPr>
                <w:rFonts w:ascii="Calibri" w:hAnsi="Calibri"/>
                <w:sz w:val="22"/>
              </w:rPr>
              <w:t>$475.2M (+50.3% YoY)</w:t>
            </w:r>
          </w:p>
        </w:tc>
        <w:tc>
          <w:tcPr>
            <w:tcW w:type="dxa" w:w="1728"/>
          </w:tcPr>
          <w:p>
            <w:r>
              <w:rPr>
                <w:rFonts w:ascii="Calibri" w:hAnsi="Calibri"/>
                <w:sz w:val="22"/>
              </w:rPr>
              <w:t>↑ Raised from prior 45–50% CC guide at Q1 earnings</w:t>
            </w:r>
          </w:p>
        </w:tc>
      </w:tr>
      <w:tr>
        <w:tc>
          <w:tcPr>
            <w:tcW w:type="dxa" w:w="1728"/>
          </w:tcPr>
          <w:p>
            <w:r>
              <w:rPr>
                <w:rFonts w:ascii="Calibri" w:hAnsi="Calibri"/>
                <w:sz w:val="22"/>
              </w:rPr>
              <w:t>FY2027 Total Revenue Growth</w:t>
            </w:r>
          </w:p>
        </w:tc>
        <w:tc>
          <w:tcPr>
            <w:tcW w:type="dxa" w:w="1728"/>
          </w:tcPr>
          <w:p>
            <w:r>
              <w:rPr>
                <w:rFonts w:ascii="Calibri" w:hAnsi="Calibri"/>
                <w:sz w:val="22"/>
              </w:rPr>
              <w:t>Double digits YoY (new target introduced Q1 2026)</w:t>
            </w:r>
          </w:p>
        </w:tc>
        <w:tc>
          <w:tcPr>
            <w:tcW w:type="dxa" w:w="1728"/>
          </w:tcPr>
          <w:p>
            <w:r>
              <w:rPr>
                <w:rFonts w:ascii="Calibri" w:hAnsi="Calibri"/>
                <w:sz w:val="22"/>
              </w:rPr>
              <w:t>—</w:t>
            </w:r>
          </w:p>
        </w:tc>
        <w:tc>
          <w:tcPr>
            <w:tcW w:type="dxa" w:w="1728"/>
          </w:tcPr>
          <w:p>
            <w:r>
              <w:rPr>
                <w:rFonts w:ascii="Calibri" w:hAnsi="Calibri"/>
                <w:sz w:val="22"/>
              </w:rPr>
              <w:t>N/A — not yet in VA consensus</w:t>
            </w:r>
          </w:p>
        </w:tc>
        <w:tc>
          <w:tcPr>
            <w:tcW w:type="dxa" w:w="1728"/>
          </w:tcPr>
          <w:p>
            <w:r>
              <w:rPr>
                <w:rFonts w:ascii="Calibri" w:hAnsi="Calibri"/>
                <w:sz w:val="22"/>
              </w:rPr>
              <w:t>↑ New target; driven by $1.8B deal + $200M deal + pipeline acceleration</w:t>
            </w:r>
          </w:p>
        </w:tc>
      </w:tr>
    </w:tbl>
    <w:p>
      <w:r>
        <w:rPr>
          <w:rFonts w:ascii="Calibri" w:hAnsi="Calibri"/>
          <w:i/>
          <w:color w:val="525866"/>
          <w:sz w:val="22"/>
        </w:rPr>
        <w:t>Source: Q1 2026 Earnings Call Transcript and Earnings Release (May 7, 2026);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Revenue estimates have been broadly stable since the Q1 print, tracking guidance well. </w:t>
      </w:r>
      <w:r>
        <w:rPr>
          <w:rFonts w:ascii="Calibri" w:hAnsi="Calibri"/>
          <w:b/>
          <w:color w:val="525866"/>
          <w:sz w:val="22"/>
        </w:rPr>
        <w:t>Non-GAAP EPS estimates have drifted lower</w:t>
      </w:r>
      <w:r>
        <w:rPr>
          <w:rFonts w:ascii="Calibri" w:hAnsi="Calibri"/>
          <w:color w:val="525866"/>
          <w:sz w:val="22"/>
        </w:rPr>
        <w:t xml:space="preserve"> (−8–12% since the post-Q1 baseline), reflecting the market’s absorption of the CapEx-driven margin compression — this creates a lower bar on EPS but also means any upside surprise on margins could be a meaningful catalyst.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14, 2026)</w:t>
            </w:r>
          </w:p>
        </w:tc>
        <w:tc>
          <w:tcPr>
            <w:tcW w:type="dxa" w:w="1080"/>
            <w:shd w:val="clear" w:color="auto" w:fill="3B4259"/>
          </w:tcPr>
          <w:p>
            <w:r>
              <w:rPr>
                <w:rFonts w:ascii="Calibri" w:hAnsi="Calibri"/>
                <w:b/>
                <w:color w:val="FFFFFF"/>
                <w:sz w:val="22"/>
              </w:rPr>
              <w:t>Current Consensus (Aug 5,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Q2 2026</w:t>
            </w:r>
          </w:p>
        </w:tc>
        <w:tc>
          <w:tcPr>
            <w:tcW w:type="dxa" w:w="1080"/>
          </w:tcPr>
          <w:p>
            <w:r>
              <w:rPr>
                <w:rFonts w:ascii="Calibri" w:hAnsi="Calibri"/>
                <w:sz w:val="22"/>
              </w:rPr>
              <w:t>$1,092.9M</w:t>
            </w:r>
          </w:p>
        </w:tc>
        <w:tc>
          <w:tcPr>
            <w:tcW w:type="dxa" w:w="1080"/>
          </w:tcPr>
          <w:p>
            <w:r>
              <w:rPr>
                <w:rFonts w:ascii="Calibri" w:hAnsi="Calibri"/>
                <w:sz w:val="22"/>
              </w:rPr>
              <w:t>$1,093.1M</w:t>
            </w:r>
          </w:p>
        </w:tc>
        <w:tc>
          <w:tcPr>
            <w:tcW w:type="dxa" w:w="1080"/>
          </w:tcPr>
          <w:p>
            <w:r>
              <w:rPr>
                <w:rFonts w:ascii="Calibri" w:hAnsi="Calibri"/>
                <w:sz w:val="22"/>
              </w:rPr>
              <w:t>+0.0%</w:t>
            </w:r>
          </w:p>
        </w:tc>
        <w:tc>
          <w:tcPr>
            <w:tcW w:type="dxa" w:w="1080"/>
          </w:tcPr>
          <w:p>
            <w:r>
              <w:rPr>
                <w:rFonts w:ascii="Calibri" w:hAnsi="Calibri"/>
                <w:sz w:val="22"/>
              </w:rPr>
              <w:t>$1,075–$1,100M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 vs. $1,087.5M mid</w:t>
            </w:r>
          </w:p>
        </w:tc>
      </w:tr>
      <w:tr>
        <w:tc>
          <w:tcPr>
            <w:tcW w:type="dxa" w:w="1080"/>
          </w:tcPr>
          <w:p>
            <w:r>
              <w:rPr>
                <w:rFonts w:ascii="Calibri" w:hAnsi="Calibri"/>
                <w:sz w:val="22"/>
              </w:rPr>
              <w:t>Non-GAAP EPS — Q2 2026</w:t>
            </w:r>
          </w:p>
        </w:tc>
        <w:tc>
          <w:tcPr>
            <w:tcW w:type="dxa" w:w="1080"/>
          </w:tcPr>
          <w:p>
            <w:r>
              <w:rPr>
                <w:rFonts w:ascii="Calibri" w:hAnsi="Calibri"/>
                <w:sz w:val="22"/>
              </w:rPr>
              <w:t>$1.587</w:t>
            </w:r>
          </w:p>
        </w:tc>
        <w:tc>
          <w:tcPr>
            <w:tcW w:type="dxa" w:w="1080"/>
          </w:tcPr>
          <w:p>
            <w:r>
              <w:rPr>
                <w:rFonts w:ascii="Calibri" w:hAnsi="Calibri"/>
                <w:sz w:val="22"/>
              </w:rPr>
              <w:t>$1.582</w:t>
            </w:r>
          </w:p>
        </w:tc>
        <w:tc>
          <w:tcPr>
            <w:tcW w:type="dxa" w:w="1080"/>
          </w:tcPr>
          <w:p>
            <w:r>
              <w:rPr>
                <w:rFonts w:ascii="Calibri" w:hAnsi="Calibri"/>
                <w:sz w:val="22"/>
              </w:rPr>
              <w:t>−0.3%</w:t>
            </w:r>
          </w:p>
        </w:tc>
        <w:tc>
          <w:tcPr>
            <w:tcW w:type="dxa" w:w="1080"/>
          </w:tcPr>
          <w:p>
            <w:r>
              <w:rPr>
                <w:rFonts w:ascii="Calibri" w:hAnsi="Calibri"/>
                <w:sz w:val="22"/>
              </w:rPr>
              <w:t>$1.45–$1.65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+1.9% vs. $1.55 mid</w:t>
            </w:r>
          </w:p>
        </w:tc>
      </w:tr>
      <w:tr>
        <w:tc>
          <w:tcPr>
            <w:tcW w:type="dxa" w:w="1080"/>
          </w:tcPr>
          <w:p>
            <w:r>
              <w:rPr>
                <w:rFonts w:ascii="Calibri" w:hAnsi="Calibri"/>
                <w:sz w:val="22"/>
              </w:rPr>
              <w:t>Total Revenue — FY2026</w:t>
            </w:r>
          </w:p>
        </w:tc>
        <w:tc>
          <w:tcPr>
            <w:tcW w:type="dxa" w:w="1080"/>
          </w:tcPr>
          <w:p>
            <w:r>
              <w:rPr>
                <w:rFonts w:ascii="Calibri" w:hAnsi="Calibri"/>
                <w:sz w:val="22"/>
              </w:rPr>
              <w:t>$4,504.0M</w:t>
            </w:r>
          </w:p>
        </w:tc>
        <w:tc>
          <w:tcPr>
            <w:tcW w:type="dxa" w:w="1080"/>
          </w:tcPr>
          <w:p>
            <w:r>
              <w:rPr>
                <w:rFonts w:ascii="Calibri" w:hAnsi="Calibri"/>
                <w:sz w:val="22"/>
              </w:rPr>
              <w:t>$4,501.3M</w:t>
            </w:r>
          </w:p>
        </w:tc>
        <w:tc>
          <w:tcPr>
            <w:tcW w:type="dxa" w:w="1080"/>
          </w:tcPr>
          <w:p>
            <w:r>
              <w:rPr>
                <w:rFonts w:ascii="Calibri" w:hAnsi="Calibri"/>
                <w:sz w:val="22"/>
              </w:rPr>
              <w:t>−0.1%</w:t>
            </w:r>
          </w:p>
        </w:tc>
        <w:tc>
          <w:tcPr>
            <w:tcW w:type="dxa" w:w="1080"/>
          </w:tcPr>
          <w:p>
            <w:r>
              <w:rPr>
                <w:rFonts w:ascii="Calibri" w:hAnsi="Calibri"/>
                <w:sz w:val="22"/>
              </w:rPr>
              <w:t>$4,445–$4,550M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 vs. $4,497.5M mid</w:t>
            </w:r>
          </w:p>
        </w:tc>
      </w:tr>
      <w:tr>
        <w:tc>
          <w:tcPr>
            <w:tcW w:type="dxa" w:w="1080"/>
          </w:tcPr>
          <w:p>
            <w:r>
              <w:rPr>
                <w:rFonts w:ascii="Calibri" w:hAnsi="Calibri"/>
                <w:sz w:val="22"/>
              </w:rPr>
              <w:t>Non-GAAP EPS — FY2026</w:t>
            </w:r>
          </w:p>
        </w:tc>
        <w:tc>
          <w:tcPr>
            <w:tcW w:type="dxa" w:w="1080"/>
          </w:tcPr>
          <w:p>
            <w:r>
              <w:rPr>
                <w:rFonts w:ascii="Calibri" w:hAnsi="Calibri"/>
                <w:sz w:val="22"/>
              </w:rPr>
              <w:t>$6.679</w:t>
            </w:r>
          </w:p>
        </w:tc>
        <w:tc>
          <w:tcPr>
            <w:tcW w:type="dxa" w:w="1080"/>
          </w:tcPr>
          <w:p>
            <w:r>
              <w:rPr>
                <w:rFonts w:ascii="Calibri" w:hAnsi="Calibri"/>
                <w:sz w:val="22"/>
              </w:rPr>
              <w:t>$6.688</w:t>
            </w:r>
          </w:p>
        </w:tc>
        <w:tc>
          <w:tcPr>
            <w:tcW w:type="dxa" w:w="1080"/>
          </w:tcPr>
          <w:p>
            <w:r>
              <w:rPr>
                <w:rFonts w:ascii="Calibri" w:hAnsi="Calibri"/>
                <w:sz w:val="22"/>
              </w:rPr>
              <w:t>+0.1%</w:t>
            </w:r>
          </w:p>
        </w:tc>
        <w:tc>
          <w:tcPr>
            <w:tcW w:type="dxa" w:w="1080"/>
          </w:tcPr>
          <w:p>
            <w:r>
              <w:rPr>
                <w:rFonts w:ascii="Calibri" w:hAnsi="Calibri"/>
                <w:sz w:val="22"/>
              </w:rPr>
              <w:t>$6.40–$7.15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+0.9% vs. $6.775 mid</w:t>
            </w:r>
          </w:p>
        </w:tc>
      </w:tr>
      <w:tr>
        <w:tc>
          <w:tcPr>
            <w:tcW w:type="dxa" w:w="1080"/>
          </w:tcPr>
          <w:p>
            <w:r>
              <w:rPr>
                <w:rFonts w:ascii="Calibri" w:hAnsi="Calibri"/>
                <w:sz w:val="22"/>
              </w:rPr>
              <w:t>CIS Revenue — Q2 2026</w:t>
            </w:r>
          </w:p>
        </w:tc>
        <w:tc>
          <w:tcPr>
            <w:tcW w:type="dxa" w:w="1080"/>
          </w:tcPr>
          <w:p>
            <w:r>
              <w:rPr>
                <w:rFonts w:ascii="Calibri" w:hAnsi="Calibri"/>
                <w:sz w:val="22"/>
              </w:rPr>
              <w:t>$101.7M</w:t>
            </w:r>
          </w:p>
        </w:tc>
        <w:tc>
          <w:tcPr>
            <w:tcW w:type="dxa" w:w="1080"/>
          </w:tcPr>
          <w:p>
            <w:r>
              <w:rPr>
                <w:rFonts w:ascii="Calibri" w:hAnsi="Calibri"/>
                <w:sz w:val="22"/>
              </w:rPr>
              <w:t>$101.7M</w:t>
            </w:r>
          </w:p>
        </w:tc>
        <w:tc>
          <w:tcPr>
            <w:tcW w:type="dxa" w:w="1080"/>
          </w:tcPr>
          <w:p>
            <w:r>
              <w:rPr>
                <w:rFonts w:ascii="Calibri" w:hAnsi="Calibri"/>
                <w:sz w:val="22"/>
              </w:rPr>
              <w:t>0.0%</w:t>
            </w:r>
          </w:p>
        </w:tc>
        <w:tc>
          <w:tcPr>
            <w:tcW w:type="dxa" w:w="1080"/>
          </w:tcPr>
          <w:p>
            <w:r>
              <w:rPr>
                <w:rFonts w:ascii="Calibri" w:hAnsi="Calibri"/>
                <w:sz w:val="22"/>
              </w:rPr>
              <w:t>≥50% CC growth FY2026</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(FY guide only)</w:t>
            </w:r>
          </w:p>
        </w:tc>
      </w:tr>
      <w:tr>
        <w:tc>
          <w:tcPr>
            <w:tcW w:type="dxa" w:w="1080"/>
          </w:tcPr>
          <w:p>
            <w:r>
              <w:rPr>
                <w:rFonts w:ascii="Calibri" w:hAnsi="Calibri"/>
                <w:sz w:val="22"/>
              </w:rPr>
              <w:t>CIS Revenue — FY2026</w:t>
            </w:r>
          </w:p>
        </w:tc>
        <w:tc>
          <w:tcPr>
            <w:tcW w:type="dxa" w:w="1080"/>
          </w:tcPr>
          <w:p>
            <w:r>
              <w:rPr>
                <w:rFonts w:ascii="Calibri" w:hAnsi="Calibri"/>
                <w:sz w:val="22"/>
              </w:rPr>
              <w:t>$474.7M</w:t>
            </w:r>
          </w:p>
        </w:tc>
        <w:tc>
          <w:tcPr>
            <w:tcW w:type="dxa" w:w="1080"/>
          </w:tcPr>
          <w:p>
            <w:r>
              <w:rPr>
                <w:rFonts w:ascii="Calibri" w:hAnsi="Calibri"/>
                <w:sz w:val="22"/>
              </w:rPr>
              <w:t>$475.2M</w:t>
            </w:r>
          </w:p>
        </w:tc>
        <w:tc>
          <w:tcPr>
            <w:tcW w:type="dxa" w:w="1080"/>
          </w:tcPr>
          <w:p>
            <w:r>
              <w:rPr>
                <w:rFonts w:ascii="Calibri" w:hAnsi="Calibri"/>
                <w:sz w:val="22"/>
              </w:rPr>
              <w:t>+0.1%</w:t>
            </w:r>
          </w:p>
        </w:tc>
        <w:tc>
          <w:tcPr>
            <w:tcW w:type="dxa" w:w="1080"/>
          </w:tcPr>
          <w:p>
            <w:r>
              <w:rPr>
                <w:rFonts w:ascii="Calibri" w:hAnsi="Calibri"/>
                <w:sz w:val="22"/>
              </w:rPr>
              <w:t>≥50% CC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+50.3% YoY implied</w:t>
            </w:r>
          </w:p>
        </w:tc>
      </w:tr>
    </w:tbl>
    <w:p>
      <w:r>
        <w:rPr>
          <w:rFonts w:ascii="Calibri" w:hAnsi="Calibri"/>
          <w:color w:val="525866"/>
          <w:sz w:val="22"/>
        </w:rPr>
        <w:t>Estimates have been remarkably stable since the Q1 print — both revenue and EPS are essentially unchanged from the post-earnings baseline, suggesting the market has fully digested the guidance and is waiting for Q2 execution confirmation. The key question is whether Q2 CapEx comes in at or below the $433–$453M guide (which would be a positive EPS surprise) or runs above it (which would pressure the low end of the EPS range).</w:t>
      </w:r>
    </w:p>
    <w:p>
      <w:r>
        <w:rPr>
          <w:rFonts w:ascii="Calibri" w:hAnsi="Calibri"/>
          <w:i/>
          <w:color w:val="525866"/>
          <w:sz w:val="22"/>
        </w:rPr>
        <w:t>Source: Visible Alpha Consensus and Actuals Data (as-of date: May 14, 2026 for baseline; latest as of August 5, 2026 for current).</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AKAM’s post-Q1 surge was driven almost entirely by </w:t>
      </w:r>
      <w:r>
        <w:rPr>
          <w:rFonts w:ascii="Calibri" w:hAnsi="Calibri"/>
          <w:b/>
          <w:color w:val="525866"/>
          <w:sz w:val="22"/>
        </w:rPr>
        <w:t>multiple re-rating</w:t>
      </w:r>
      <w:r>
        <w:rPr>
          <w:rFonts w:ascii="Calibri" w:hAnsi="Calibri"/>
          <w:color w:val="525866"/>
          <w:sz w:val="22"/>
        </w:rPr>
        <w:t xml:space="preserve"> on the AI infrastructure thesis (EV/EBITDA expanded from ~9.5x to ~11.8x over 6 months), but the stock has given back roughly half its post-earnings gain as the market awaits Q2 execution confirmation. The stock has significantly underperformed XLK since mid-May, suggesting the AI premium is not yet durable without a revenue ramp.</w:t>
      </w:r>
    </w:p>
    <w:p>
      <w:r>
        <w:rPr>
          <w:rFonts w:ascii="Calibri" w:hAnsi="Calibri"/>
          <w:b/>
          <w:color w:val="525866"/>
          <w:sz w:val="22"/>
        </w:rPr>
        <w:t xml:space="preserve">Benchmark Note: </w:t>
      </w:r>
      <w:r>
        <w:rPr>
          <w:rFonts w:ascii="Calibri" w:hAnsi="Calibri"/>
          <w:color w:val="525866"/>
          <w:sz w:val="22"/>
        </w:rPr>
        <w:t>XLK (Technology Select Sector SPDR ETF) is used as the sector benchmark. AKAM is classified in the Information Technology sector (internet services/software infrastructure), making XLK the most appropriate peer index. The S&amp;P 500 (SPY) is included as the broad market reference.</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AKAM vs. XLK vs. S&amp;P 500 — Indexed to 100 at Q1 2026 Earnings (May 7, 2026). Source: Yahoo Finance / Stock Price Data.</w:t>
      </w:r>
    </w:p>
    <w:p>
      <w:r>
        <w:rPr>
          <w:rFonts w:ascii="Calibri" w:hAnsi="Calibri"/>
          <w:b/>
          <w:color w:val="525866"/>
          <w:sz w:val="22"/>
        </w:rPr>
        <w:t xml:space="preserve">Performance Summary (May 7 – August 4, 2026): </w:t>
      </w:r>
      <w:r>
        <w:rPr>
          <w:rFonts w:ascii="Calibri" w:hAnsi="Calibri"/>
          <w:color w:val="525866"/>
          <w:sz w:val="22"/>
        </w:rPr>
        <w:t>AKAM +5.7% | XLK +10.1% | SPY +5.4%. AKAM surged ~38% in the first week post-earnings (May 7–13) on the $1.8B CIS deal announcement, then retraced sharply through June and July as the market digested the CapEx implications and awaited Q2 execution. By late July, AKAM had given back nearly all of its post-earnings gains relative to XLK, which continued to rally on broader AI/tech enthusiasm. The stock has recovered modestly in early August ahead of the print.</w:t>
      </w:r>
    </w:p>
    <w:p>
      <w:r>
        <w:rPr>
          <w:rFonts w:ascii="Calibri" w:hAnsi="Calibri"/>
          <w:b/>
          <w:color w:val="525866"/>
          <w:sz w:val="22"/>
        </w:rPr>
        <w:t xml:space="preserve">Valuation Context: </w:t>
      </w:r>
      <w:r>
        <w:rPr>
          <w:rFonts w:ascii="Calibri" w:hAnsi="Calibri"/>
          <w:color w:val="525866"/>
          <w:sz w:val="22"/>
        </w:rPr>
        <w:t>At ~$122, AKAM trades at ~11.8x NTM EV/EBITDA, up from ~7.9x a year ago (+49% multiple expansion). The 12-month price return of +62% has been almost entirely multiple-driven, with EPS estimates broadly flat over the same period. This creates a higher bar for the stock to continue re-rating without tangible CIS revenue acceleration.</w:t>
      </w:r>
    </w:p>
    <w:p>
      <w:r>
        <w:rPr>
          <w:rFonts w:ascii="Calibri" w:hAnsi="Calibri"/>
          <w:i/>
          <w:color w:val="525866"/>
          <w:sz w:val="22"/>
        </w:rPr>
        <w:t>Source: Yahoo Finance / Stock Price Data; Visible Alpha Consensus and Actuals Data.</w:t>
      </w:r>
    </w:p>
    <w:p>
      <w:r>
        <w:br w:type="page"/>
      </w:r>
    </w:p>
    <w:p>
      <w:pPr>
        <w:pStyle w:val="Heading2"/>
      </w:pPr>
      <w:r>
        <w:rPr>
          <w:rFonts w:ascii="Calibri" w:hAnsi="Calibri"/>
          <w:b/>
          <w:color w:val="3B4259"/>
          <w:sz w:val="28"/>
        </w:rPr>
        <w:t>6. Peer Commentaries — Current-Quarter Read-Throughs</w:t>
      </w:r>
    </w:p>
    <w:p>
      <w:r>
        <w:rPr>
          <w:rFonts w:ascii="Calibri" w:hAnsi="Calibri"/>
          <w:b/>
          <w:color w:val="525866"/>
          <w:sz w:val="22"/>
        </w:rPr>
        <w:t xml:space="preserve">Key Takeaway: </w:t>
      </w:r>
      <w:r>
        <w:rPr>
          <w:rFonts w:ascii="Calibri" w:hAnsi="Calibri"/>
          <w:color w:val="525866"/>
          <w:sz w:val="22"/>
        </w:rPr>
        <w:t xml:space="preserve">Two peers reported or held investor events in the June 6 – August 5, 2026 window with commentary directly applicable to AKAM’s Q2 2026 conditions: </w:t>
      </w:r>
      <w:r>
        <w:rPr>
          <w:rFonts w:ascii="Calibri" w:hAnsi="Calibri"/>
          <w:b/>
          <w:color w:val="525866"/>
          <w:sz w:val="22"/>
        </w:rPr>
        <w:t>Fastly (FSLY) reported Q2 2026 results on August 5</w:t>
      </w:r>
      <w:r>
        <w:rPr>
          <w:rFonts w:ascii="Calibri" w:hAnsi="Calibri"/>
          <w:color w:val="525866"/>
          <w:sz w:val="22"/>
        </w:rPr>
        <w:t xml:space="preserve"> with strong beats across delivery, security, and compute; and </w:t>
      </w:r>
      <w:r>
        <w:rPr>
          <w:rFonts w:ascii="Calibri" w:hAnsi="Calibri"/>
          <w:b/>
          <w:color w:val="525866"/>
          <w:sz w:val="22"/>
        </w:rPr>
        <w:t>Cloudflare (NET) held its Investor Day on June 9</w:t>
      </w:r>
      <w:r>
        <w:rPr>
          <w:rFonts w:ascii="Calibri" w:hAnsi="Calibri"/>
          <w:color w:val="525866"/>
          <w:sz w:val="22"/>
        </w:rPr>
        <w:t xml:space="preserve"> with extensive commentary on AI-driven demand, security urgency, and edge compute trends. Both are broadly positive read-throughs for AKAM, with important caveats noted below.</w:t>
      </w:r>
    </w:p>
    <w:p>
      <w:r>
        <w:rPr>
          <w:rFonts w:ascii="Calibri" w:hAnsi="Calibri"/>
          <w:b/>
          <w:color w:val="525866"/>
          <w:sz w:val="22"/>
        </w:rPr>
        <w:t xml:space="preserve">Scope Note: </w:t>
      </w:r>
      <w:r>
        <w:rPr>
          <w:rFonts w:ascii="Calibri" w:hAnsi="Calibri"/>
          <w:i/>
          <w:color w:val="525866"/>
          <w:sz w:val="22"/>
        </w:rPr>
        <w:t>Only commentary from June 6 – August 5, 2026 that addresses Q2 2026 conditions or forward Q3/H2 2026 outlook is included. Prior-quarter earnings commentary (e.g., Q1 2026 results from peers) is excluded per the user’s instruction.</w:t>
      </w:r>
    </w:p>
    <w:p>
      <w:pPr>
        <w:pStyle w:val="Heading3"/>
      </w:pPr>
      <w:r>
        <w:rPr>
          <w:rFonts w:ascii="Calibri" w:hAnsi="Calibri"/>
          <w:b/>
          <w:color w:val="3B4259"/>
          <w:sz w:val="24"/>
        </w:rPr>
        <w:t>6A. Fastly (FSLY) — Q2 2026 Earnings (August 5, 2026)</w:t>
      </w:r>
    </w:p>
    <w:p>
      <w:r>
        <w:rPr>
          <w:rFonts w:ascii="Calibri" w:hAnsi="Calibri"/>
          <w:color w:val="525866"/>
          <w:sz w:val="22"/>
        </w:rPr>
        <w:t>Fastly reported Q2 2026 results on August 5, 2026, the day before AKAM’s print. Results were strong across all segments and provide a broadly positive read-through for AKAM’s Q2 delivery, security, and compute businesses.</w:t>
      </w:r>
    </w:p>
    <w:p>
      <w:pPr>
        <w:pStyle w:val="ListBullet"/>
        <w:ind w:left="360" w:hanging="360"/>
      </w:pPr>
      <w:r>
        <w:rPr>
          <w:rFonts w:ascii="Calibri" w:hAnsi="Calibri"/>
          <w:b/>
          <w:color w:val="525866"/>
          <w:sz w:val="22"/>
        </w:rPr>
        <w:t xml:space="preserve">Overall Revenue Beat — Positive Read-Through: </w:t>
      </w:r>
      <w:r>
        <w:rPr>
          <w:rFonts w:ascii="Calibri" w:hAnsi="Calibri"/>
          <w:color w:val="525866"/>
          <w:sz w:val="22"/>
        </w:rPr>
        <w:t xml:space="preserve">Fastly reported record Q2 revenue of $183.3M, up 23% YoY, exceeding the high end of its $170–$176M guidance range. The beat was driven by “continued success in go-to-market upsell and cross-sell motions.” </w:t>
      </w:r>
    </w:p>
    <w:p>
      <w:pPr>
        <w:pStyle w:val="ListBullet"/>
        <w:ind w:left="360" w:hanging="360"/>
      </w:pPr>
      <w:r>
        <w:rPr>
          <w:rFonts w:ascii="Calibri" w:hAnsi="Calibri"/>
          <w:b/>
          <w:color w:val="525866"/>
          <w:sz w:val="22"/>
        </w:rPr>
        <w:t xml:space="preserve">Security Demand Robust — Positive Read-Through: </w:t>
      </w:r>
      <w:r>
        <w:rPr>
          <w:rFonts w:ascii="Calibri" w:hAnsi="Calibri"/>
          <w:color w:val="525866"/>
          <w:sz w:val="22"/>
        </w:rPr>
        <w:t>Security revenue grew 43% YoY and 8% sequentially to $41.7M, now representing 23% of revenue (vs. 20% a year ago). DDoS protection and bot management grew at triple-digit rates YoY. This validates the strong enterprise demand for edge security that AKAM has also cited, particularly for WAF, API security, and DDoS defense.</w:t>
      </w:r>
    </w:p>
    <w:p>
      <w:pPr>
        <w:pStyle w:val="ListBullet"/>
        <w:ind w:left="360" w:hanging="360"/>
      </w:pPr>
      <w:r>
        <w:rPr>
          <w:rFonts w:ascii="Calibri" w:hAnsi="Calibri"/>
          <w:b/>
          <w:color w:val="525866"/>
          <w:sz w:val="22"/>
        </w:rPr>
        <w:t xml:space="preserve">Network Services (Delivery) Growth — Positive Read-Through: </w:t>
      </w:r>
      <w:r>
        <w:rPr>
          <w:rFonts w:ascii="Calibri" w:hAnsi="Calibri"/>
          <w:color w:val="525866"/>
          <w:sz w:val="22"/>
        </w:rPr>
        <w:t>Network services revenue grew 17% YoY to $133.9M, an acceleration from Q1. Fastly cited market share gains “where performance matters.” While AKAM’s delivery business is in managed decline (different competitive position), the overall CDN demand environment appears healthy.</w:t>
      </w:r>
    </w:p>
    <w:p>
      <w:pPr>
        <w:pStyle w:val="ListBullet"/>
        <w:ind w:left="360" w:hanging="360"/>
      </w:pPr>
      <w:r>
        <w:rPr>
          <w:rFonts w:ascii="Calibri" w:hAnsi="Calibri"/>
          <w:b/>
          <w:color w:val="525866"/>
          <w:sz w:val="22"/>
        </w:rPr>
        <w:t xml:space="preserve">AI Traffic as Tailwind — Positive Read-Through: </w:t>
      </w:r>
      <w:r>
        <w:rPr>
          <w:rFonts w:ascii="Calibri" w:hAnsi="Calibri"/>
          <w:color w:val="525866"/>
          <w:sz w:val="22"/>
        </w:rPr>
        <w:t>Fastly noted that “AI-generated traffic is growing at roughly 6.5x the rate of human traffic,” showing up most in security and compute. This validates AKAM’s thesis that AI-driven traffic growth benefits its security and CIS businesses.</w:t>
      </w:r>
    </w:p>
    <w:p>
      <w:pPr>
        <w:pStyle w:val="ListBullet"/>
        <w:ind w:left="360" w:hanging="360"/>
      </w:pPr>
      <w:r>
        <w:rPr>
          <w:rFonts w:ascii="Calibri" w:hAnsi="Calibri"/>
          <w:b/>
          <w:color w:val="525866"/>
          <w:sz w:val="22"/>
        </w:rPr>
        <w:t xml:space="preserve">Compute Growth — Positive Read-Through: </w:t>
      </w:r>
      <w:r>
        <w:rPr>
          <w:rFonts w:ascii="Calibri" w:hAnsi="Calibri"/>
          <w:color w:val="525866"/>
          <w:sz w:val="22"/>
        </w:rPr>
        <w:t>Fastly’s compute/other revenue grew 69% YoY, driven by AI-related customer requirements. This validates the edge compute demand thesis central to AKAM’s CIS strategy.</w:t>
      </w:r>
    </w:p>
    <w:p>
      <w:pPr>
        <w:pStyle w:val="ListBullet"/>
        <w:ind w:left="360" w:hanging="360"/>
      </w:pPr>
      <w:r>
        <w:rPr>
          <w:rFonts w:ascii="Calibri" w:hAnsi="Calibri"/>
          <w:b/>
          <w:color w:val="525866"/>
          <w:sz w:val="22"/>
        </w:rPr>
        <w:t xml:space="preserve">Pricing Environment — Neutral/Caveat: </w:t>
      </w:r>
      <w:r>
        <w:rPr>
          <w:rFonts w:ascii="Calibri" w:hAnsi="Calibri"/>
          <w:color w:val="525866"/>
          <w:sz w:val="22"/>
        </w:rPr>
        <w:t>Fastly noted mid-single-digit price erosion driven by volume discounts, and explicitly stated “no plans to implement surcharge pricing.” This competitive pricing dynamic is relevant to AKAM’s delivery business but less so to CIS (which is contracted capacity).</w:t>
      </w:r>
    </w:p>
    <w:p>
      <w:pPr>
        <w:pStyle w:val="ListBullet"/>
        <w:ind w:left="360" w:hanging="360"/>
      </w:pPr>
      <w:r>
        <w:rPr>
          <w:rFonts w:ascii="Calibri" w:hAnsi="Calibri"/>
          <w:b/>
          <w:color w:val="525866"/>
          <w:sz w:val="22"/>
        </w:rPr>
        <w:t xml:space="preserve">Episodic Revenue Caveat — Important Caveat: </w:t>
      </w:r>
      <w:r>
        <w:rPr>
          <w:rFonts w:ascii="Calibri" w:hAnsi="Calibri"/>
          <w:color w:val="525866"/>
          <w:sz w:val="22"/>
        </w:rPr>
        <w:t>Fastly disclosed that “a little less than half” of its $10M revenue beat vs. guide midpoint was driven by episodic events (World Cup, White House event). With 75% of World Cup games in Q2 and only 25% in Q3, this creates a Q3 headwind for Fastly. AKAM may have benefited from similar episodic traffic in Q2, but this should not be extrapolated to Q3.</w:t>
      </w:r>
    </w:p>
    <w:p>
      <w:pPr>
        <w:pStyle w:val="ListBullet"/>
        <w:ind w:left="360" w:hanging="360"/>
      </w:pPr>
      <w:r>
        <w:rPr>
          <w:rFonts w:ascii="Calibri" w:hAnsi="Calibri"/>
          <w:b/>
          <w:color w:val="525866"/>
          <w:sz w:val="22"/>
        </w:rPr>
        <w:t xml:space="preserve">Q3 2026 Guidance — Positive Read-Through: </w:t>
      </w:r>
      <w:r>
        <w:rPr>
          <w:rFonts w:ascii="Calibri" w:hAnsi="Calibri"/>
          <w:color w:val="525866"/>
          <w:sz w:val="22"/>
        </w:rPr>
        <w:t>Fastly guided Q3 revenue to $184–$190M (+18% YoY at midpoint), and raised full-year guidance to $732–$746M (+18% YoY). The continued growth trajectory is a positive signal for the broader edge cloud market.</w:t>
      </w:r>
    </w:p>
    <w:p>
      <w:r>
        <w:rPr>
          <w:rFonts w:ascii="Calibri" w:hAnsi="Calibri"/>
          <w:i/>
          <w:color w:val="525866"/>
          <w:sz w:val="22"/>
        </w:rPr>
        <w:t>Source: Fastly Q2 2026 Earnings Call Transcript and Earnings Release (August 5, 2026).</w:t>
      </w:r>
    </w:p>
    <w:p>
      <w:pPr>
        <w:pStyle w:val="Heading3"/>
      </w:pPr>
      <w:r>
        <w:rPr>
          <w:rFonts w:ascii="Calibri" w:hAnsi="Calibri"/>
          <w:b/>
          <w:color w:val="3B4259"/>
          <w:sz w:val="24"/>
        </w:rPr>
        <w:t>6B. Cloudflare (NET) — Investor Day (June 9, 2026)</w:t>
      </w:r>
    </w:p>
    <w:p>
      <w:r>
        <w:rPr>
          <w:rFonts w:ascii="Calibri" w:hAnsi="Calibri"/>
          <w:color w:val="525866"/>
          <w:sz w:val="22"/>
        </w:rPr>
        <w:t>Cloudflare held its Investor Day on June 9, 2026, providing extensive forward-looking commentary on Q2 2026 demand conditions and H2 2026 outlook. The commentary is highly applicable to AKAM’s security, delivery, and CIS businesses.</w:t>
      </w:r>
    </w:p>
    <w:p>
      <w:pPr>
        <w:pStyle w:val="ListBullet"/>
        <w:ind w:left="360" w:hanging="360"/>
      </w:pPr>
      <w:r>
        <w:rPr>
          <w:rFonts w:ascii="Calibri" w:hAnsi="Calibri"/>
          <w:b/>
          <w:color w:val="525866"/>
          <w:sz w:val="22"/>
        </w:rPr>
        <w:t xml:space="preserve">AI Demand Urgency — Strongly Positive Read-Through: </w:t>
      </w:r>
      <w:r>
        <w:rPr>
          <w:rFonts w:ascii="Calibri" w:hAnsi="Calibri"/>
          <w:color w:val="525866"/>
          <w:sz w:val="22"/>
        </w:rPr>
        <w:t>Cloudflare President Mark Anderson stated: “Since the beginning of 2026, agentic AI is all anyone wants to talk about. The urgency level has gone from 0 to 100.” He noted customers are “moving from pilots and experimentation into production every single day.” Cloudflare reported revenue growth “north of 37%” driven by AI-related demand. This validates AKAM’s thesis that enterprise AI adoption is accelerating and driving demand for edge infrastructure.</w:t>
      </w:r>
    </w:p>
    <w:p>
      <w:pPr>
        <w:pStyle w:val="ListBullet"/>
        <w:ind w:left="360" w:hanging="360"/>
      </w:pPr>
      <w:r>
        <w:rPr>
          <w:rFonts w:ascii="Calibri" w:hAnsi="Calibri"/>
          <w:b/>
          <w:color w:val="525866"/>
          <w:sz w:val="22"/>
        </w:rPr>
        <w:t xml:space="preserve">Bot/Agentic Traffic Explosion — Positive Read-Through: </w:t>
      </w:r>
      <w:r>
        <w:rPr>
          <w:rFonts w:ascii="Calibri" w:hAnsi="Calibri"/>
          <w:color w:val="525866"/>
          <w:sz w:val="22"/>
        </w:rPr>
        <w:t>Cloudflare CEO Matthew Prince noted that “bots have already exceeded human traffic online and it’s growing exponentially,” earlier than expected. Agentic traffic on Cloudflare’s network grew 700% YoY. Prince forecast 10–100x traffic volumes in five years. This is a major structural tailwind for AKAM’s delivery and security businesses.</w:t>
      </w:r>
    </w:p>
    <w:p>
      <w:pPr>
        <w:pStyle w:val="ListBullet"/>
        <w:ind w:left="360" w:hanging="360"/>
      </w:pPr>
      <w:r>
        <w:rPr>
          <w:rFonts w:ascii="Calibri" w:hAnsi="Calibri"/>
          <w:b/>
          <w:color w:val="525866"/>
          <w:sz w:val="22"/>
        </w:rPr>
        <w:t xml:space="preserve">Security Urgency — Positive Read-Through: </w:t>
      </w:r>
      <w:r>
        <w:rPr>
          <w:rFonts w:ascii="Calibri" w:hAnsi="Calibri"/>
          <w:color w:val="525866"/>
          <w:sz w:val="22"/>
        </w:rPr>
        <w:t>Prince predicted “every security company is going to be wildly busy for the next two years,” citing Log4J-level vulnerabilities occurring monthly or weekly due to AI-powered attacks. Anderson noted CISOs are expressing “fear” because “legacy security approaches are just not effective.” This directly validates AKAM’s Q1 commentary that CISOs are “more agitated than at any prior point.”</w:t>
      </w:r>
    </w:p>
    <w:p>
      <w:pPr>
        <w:pStyle w:val="ListBullet"/>
        <w:ind w:left="360" w:hanging="360"/>
      </w:pPr>
      <w:r>
        <w:rPr>
          <w:rFonts w:ascii="Calibri" w:hAnsi="Calibri"/>
          <w:b/>
          <w:color w:val="525866"/>
          <w:sz w:val="22"/>
        </w:rPr>
        <w:t xml:space="preserve">Zero Trust as AI Enabler — Positive Read-Through: </w:t>
      </w:r>
      <w:r>
        <w:rPr>
          <w:rFonts w:ascii="Calibri" w:hAnsi="Calibri"/>
          <w:color w:val="525866"/>
          <w:sz w:val="22"/>
        </w:rPr>
        <w:t>Prince stated “AI is the killer use case to drive zero trust,” with conversations now starting at the CIO/CTO/CEO level rather than the CISO. This validates AKAM’s Guardicore and zero trust security positioning.</w:t>
      </w:r>
    </w:p>
    <w:p>
      <w:pPr>
        <w:pStyle w:val="ListBullet"/>
        <w:ind w:left="360" w:hanging="360"/>
      </w:pPr>
      <w:r>
        <w:rPr>
          <w:rFonts w:ascii="Calibri" w:hAnsi="Calibri"/>
          <w:b/>
          <w:color w:val="525866"/>
          <w:sz w:val="22"/>
        </w:rPr>
        <w:t xml:space="preserve">Pipeline Strength — Positive Read-Through: </w:t>
      </w:r>
      <w:r>
        <w:rPr>
          <w:rFonts w:ascii="Calibri" w:hAnsi="Calibri"/>
          <w:color w:val="525866"/>
          <w:sz w:val="22"/>
        </w:rPr>
        <w:t>CFO Thomas Seifert disclosed that “exiting Q1 2026, carry-forward pipeline is already up 40% YoY,” with sales capacity continuing to increase through year-end. This is a strong leading indicator for the broader enterprise security and edge cloud market.</w:t>
      </w:r>
    </w:p>
    <w:p>
      <w:pPr>
        <w:pStyle w:val="ListBullet"/>
        <w:ind w:left="360" w:hanging="360"/>
      </w:pPr>
      <w:r>
        <w:rPr>
          <w:rFonts w:ascii="Calibri" w:hAnsi="Calibri"/>
          <w:b/>
          <w:color w:val="525866"/>
          <w:sz w:val="22"/>
        </w:rPr>
        <w:t xml:space="preserve">Budget Constraints — Important Caveat: </w:t>
      </w:r>
      <w:r>
        <w:rPr>
          <w:rFonts w:ascii="Calibri" w:hAnsi="Calibri"/>
          <w:color w:val="525866"/>
          <w:sz w:val="22"/>
        </w:rPr>
        <w:t>Anderson noted that “all of this is happening against the backdrop of relatively flat IT budgets.” Despite 90% of tech leaders planning to increase AI investments, overall IT spending growth is modest. This means AKAM must compete for wallet share within constrained budgets, making ROI and consolidation narratives critical.</w:t>
      </w:r>
    </w:p>
    <w:p>
      <w:pPr>
        <w:pStyle w:val="ListBullet"/>
        <w:ind w:left="360" w:hanging="360"/>
      </w:pPr>
      <w:r>
        <w:rPr>
          <w:rFonts w:ascii="Calibri" w:hAnsi="Calibri"/>
          <w:b/>
          <w:color w:val="525866"/>
          <w:sz w:val="22"/>
        </w:rPr>
        <w:t xml:space="preserve">Cloudflare Compute Efficiency Claim — Competitive Caveat: </w:t>
      </w:r>
      <w:r>
        <w:rPr>
          <w:rFonts w:ascii="Calibri" w:hAnsi="Calibri"/>
          <w:color w:val="525866"/>
          <w:sz w:val="22"/>
        </w:rPr>
        <w:t>Cloudflare claimed its “isolates” architecture is “100x more efficient than any type of compute,” with running 10,000 agents being “63% more cost-effective on Cloudflare.” This is a direct competitive challenge to AKAM’s CIS/edge compute positioning and warrants monitoring, though AKAM’s GPU-based inference platform targets different workloads (large-model inference vs. lightweight serverless).</w:t>
      </w:r>
    </w:p>
    <w:p>
      <w:pPr>
        <w:pStyle w:val="ListBullet"/>
        <w:ind w:left="360" w:hanging="360"/>
      </w:pPr>
      <w:r>
        <w:rPr>
          <w:rFonts w:ascii="Calibri" w:hAnsi="Calibri"/>
          <w:b/>
          <w:color w:val="525866"/>
          <w:sz w:val="22"/>
        </w:rPr>
        <w:t xml:space="preserve">Revenue Recognition Lag — Caveat: </w:t>
      </w:r>
      <w:r>
        <w:rPr>
          <w:rFonts w:ascii="Calibri" w:hAnsi="Calibri"/>
          <w:color w:val="525866"/>
          <w:sz w:val="22"/>
        </w:rPr>
        <w:t>Seifert highlighted a “lag to the inflection point of usage” in revenue recognition for consumption-based models, creating a “headwind from a revenue recognition perspective” in Q1–Q2. This is relevant to AKAM’s CIS business, where the $1.8B deal revenue begins ramping only in Q4 2026.</w:t>
      </w:r>
    </w:p>
    <w:p>
      <w:r>
        <w:rPr>
          <w:rFonts w:ascii="Calibri" w:hAnsi="Calibri"/>
          <w:i/>
          <w:color w:val="525866"/>
          <w:sz w:val="22"/>
        </w:rPr>
        <w:t>Source: Cloudflare Investor Day Transcript (June 9, 2026).</w:t>
      </w:r>
    </w:p>
    <w:p>
      <w:pPr>
        <w:pStyle w:val="Heading3"/>
      </w:pPr>
      <w:r>
        <w:rPr>
          <w:rFonts w:ascii="Calibri" w:hAnsi="Calibri"/>
          <w:b/>
          <w:color w:val="3B4259"/>
          <w:sz w:val="24"/>
        </w:rPr>
        <w:t>6C. Broader Industry Read-Throughs (June–July 2026)</w:t>
      </w:r>
    </w:p>
    <w:p>
      <w:pPr>
        <w:pStyle w:val="ListBullet"/>
        <w:ind w:left="360" w:hanging="360"/>
      </w:pPr>
      <w:r>
        <w:rPr>
          <w:rFonts w:ascii="Calibri" w:hAnsi="Calibri"/>
          <w:b/>
          <w:color w:val="525866"/>
          <w:sz w:val="22"/>
        </w:rPr>
        <w:t xml:space="preserve">Palo Alto Networks &amp; CrowdStrike Record Quarters (June 30, 2026): </w:t>
      </w:r>
      <w:r>
        <w:rPr>
          <w:rFonts w:ascii="Calibri" w:hAnsi="Calibri"/>
          <w:color w:val="525866"/>
          <w:sz w:val="22"/>
        </w:rPr>
        <w:t>Both companies reported record quarters “fueled by rising AI threats and a focus on identity security,” per public reporting. This validates the strong enterprise security demand environment that benefits AKAM’s security portfolio.</w:t>
      </w:r>
    </w:p>
    <w:p>
      <w:pPr>
        <w:pStyle w:val="ListBullet"/>
        <w:ind w:left="360" w:hanging="360"/>
      </w:pPr>
      <w:r>
        <w:rPr>
          <w:rFonts w:ascii="Calibri" w:hAnsi="Calibri"/>
          <w:b/>
          <w:color w:val="525866"/>
          <w:sz w:val="22"/>
        </w:rPr>
        <w:t xml:space="preserve">IBM Q2 Earnings Warning — Cybersecurity Read-Through (July 14, 2026): </w:t>
      </w:r>
      <w:r>
        <w:rPr>
          <w:rFonts w:ascii="Calibri" w:hAnsi="Calibri"/>
          <w:color w:val="525866"/>
          <w:sz w:val="22"/>
        </w:rPr>
        <w:t>IBM’s Q2 earnings miss sent its stock down 25%, but a CEO comment on cybersecurity concerns fueled a 10% surge in CrowdStrike and other security firms. This illustrates that security spending is being prioritized even as broader IT budgets face pressure — a positive read-through for AKAM’s security business.</w:t>
      </w:r>
    </w:p>
    <w:p>
      <w:pPr>
        <w:pStyle w:val="ListBullet"/>
        <w:ind w:left="360" w:hanging="360"/>
      </w:pPr>
      <w:r>
        <w:rPr>
          <w:rFonts w:ascii="Calibri" w:hAnsi="Calibri"/>
          <w:b/>
          <w:color w:val="525866"/>
          <w:sz w:val="22"/>
        </w:rPr>
        <w:t xml:space="preserve">Chinese AI Competition — Cybersecurity Tailwind (June 30, 2026): </w:t>
      </w:r>
      <w:r>
        <w:rPr>
          <w:rFonts w:ascii="Calibri" w:hAnsi="Calibri"/>
          <w:color w:val="525866"/>
          <w:sz w:val="22"/>
        </w:rPr>
        <w:t>J.P. Morgan predicted that increasingly competitive Chinese AI will boost demand for cybersecurity, specifically citing CrowdStrike, Palo Alto, Tenable, and Qualys as beneficiaries. The same logic applies to AKAM’s security portfolio, particularly WAF and API security.</w:t>
      </w:r>
    </w:p>
    <w:p>
      <w:pPr>
        <w:pStyle w:val="ListBullet"/>
        <w:ind w:left="360" w:hanging="360"/>
      </w:pPr>
      <w:r>
        <w:rPr>
          <w:rFonts w:ascii="Calibri" w:hAnsi="Calibri"/>
          <w:b/>
          <w:color w:val="525866"/>
          <w:sz w:val="22"/>
        </w:rPr>
        <w:t xml:space="preserve">CrowdStrike — Cerebras AI Chip Deal (July 22, 2026): </w:t>
      </w:r>
      <w:r>
        <w:rPr>
          <w:rFonts w:ascii="Calibri" w:hAnsi="Calibri"/>
          <w:color w:val="525866"/>
          <w:sz w:val="22"/>
        </w:rPr>
        <w:t>CrowdStrike secured a deal for Cerebras AI cybersecurity chips, signaling that AI-native security infrastructure is becoming a competitive differentiator. AKAM’s NVIDIA partnership and AI Firewall positioning are relevant here.</w:t>
      </w:r>
    </w:p>
    <w:p>
      <w:r>
        <w:rPr>
          <w:rFonts w:ascii="Calibri" w:hAnsi="Calibri"/>
          <w:i/>
          <w:color w:val="525866"/>
          <w:sz w:val="22"/>
        </w:rPr>
        <w:t>Source: Public news sources (June–July 2026).</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post-Q1 development is the </w:t>
      </w:r>
      <w:r>
        <w:rPr>
          <w:rFonts w:ascii="Calibri" w:hAnsi="Calibri"/>
          <w:b/>
          <w:color w:val="525866"/>
          <w:sz w:val="22"/>
        </w:rPr>
        <w:t>$2.6B convertible note offering (May 18, 2026)</w:t>
      </w:r>
      <w:r>
        <w:rPr>
          <w:rFonts w:ascii="Calibri" w:hAnsi="Calibri"/>
          <w:color w:val="525866"/>
          <w:sz w:val="22"/>
        </w:rPr>
        <w:t>, which signals management is proactively securing capital to fund the unprecedented CapEx cycle driven by the $1.8B CIS deal — a bullish signal on deal pipeline confidence but a near-term dilution/leverage consideration.</w:t>
      </w:r>
    </w:p>
    <w:p>
      <w:pPr>
        <w:pStyle w:val="ListBullet"/>
        <w:ind w:left="360" w:hanging="360"/>
      </w:pPr>
      <w:r>
        <w:rPr>
          <w:rFonts w:ascii="Calibri" w:hAnsi="Calibri"/>
          <w:b/>
          <w:color w:val="525866"/>
          <w:sz w:val="22"/>
        </w:rPr>
        <w:t xml:space="preserve">May 7, 2026 — Q1 2026 Earnings: $1.8B Seven-Year CIS Deal Announced. </w:t>
      </w:r>
      <w:r>
        <w:rPr>
          <w:rFonts w:ascii="Calibri" w:hAnsi="Calibri"/>
          <w:color w:val="525866"/>
          <w:sz w:val="22"/>
        </w:rPr>
        <w:t xml:space="preserve">Akamai announced the largest customer deal in company history — a seven-year, $1.8B commitment for Cloud Infrastructure Services from a leading US-based frontier model company. Revenue begins ramping in Q4 2026 (~$20–25M), with ~$700M of CapEx to be deployed in H2 2026. Management also raised FY2026 CIS growth guidance to ≥50% CC and introduced a 2027 double-digit total revenue growth target. </w:t>
      </w:r>
    </w:p>
    <w:p>
      <w:pPr>
        <w:pStyle w:val="ListBullet"/>
        <w:ind w:left="360" w:hanging="360"/>
      </w:pPr>
      <w:r>
        <w:rPr>
          <w:rFonts w:ascii="Calibri" w:hAnsi="Calibri"/>
          <w:b/>
          <w:color w:val="525866"/>
          <w:sz w:val="22"/>
        </w:rPr>
        <w:t xml:space="preserve">May 7, 2026 — Q1 2026 Earnings: GPU Pipeline Exceeds Inventory. </w:t>
      </w:r>
      <w:r>
        <w:rPr>
          <w:rFonts w:ascii="Calibri" w:hAnsi="Calibri"/>
          <w:color w:val="525866"/>
          <w:sz w:val="22"/>
        </w:rPr>
        <w:t>Management disclosed that “our current pipeline for GPUs significantly exceeds our existing and projected inventory,” flagging potential for additional GPU orders in H2 2026 not yet in guidance. This is the single most important wildcard for Q2 guidance and beyond.</w:t>
      </w:r>
    </w:p>
    <w:p>
      <w:pPr>
        <w:pStyle w:val="ListBullet"/>
        <w:ind w:left="360" w:hanging="360"/>
      </w:pPr>
      <w:r>
        <w:rPr>
          <w:rFonts w:ascii="Calibri" w:hAnsi="Calibri"/>
          <w:b/>
          <w:color w:val="525866"/>
          <w:sz w:val="22"/>
        </w:rPr>
        <w:t xml:space="preserve">May 13, 2026 — Shareholder Meeting: Special Meeting Right Approved, Equity Plans Expanded. </w:t>
      </w:r>
      <w:r>
        <w:rPr>
          <w:rFonts w:ascii="Calibri" w:hAnsi="Calibri"/>
          <w:color w:val="525866"/>
          <w:sz w:val="22"/>
        </w:rPr>
        <w:t>Shareholders approved a special meeting right and expanded equity compensation plans. The equity plan expansion is consistent with the company’s need to attract and retain talent for its accelerating cloud build-out.</w:t>
      </w:r>
    </w:p>
    <w:p>
      <w:pPr>
        <w:pStyle w:val="ListBullet"/>
        <w:ind w:left="360" w:hanging="360"/>
      </w:pPr>
      <w:r>
        <w:rPr>
          <w:rFonts w:ascii="Calibri" w:hAnsi="Calibri"/>
          <w:b/>
          <w:color w:val="525866"/>
          <w:sz w:val="22"/>
        </w:rPr>
        <w:t xml:space="preserve">May 18, 2026 — $2.6B Convertible Note Offering Announced. </w:t>
      </w:r>
      <w:r>
        <w:rPr>
          <w:rFonts w:ascii="Calibri" w:hAnsi="Calibri"/>
          <w:color w:val="525866"/>
          <w:sz w:val="22"/>
        </w:rPr>
        <w:t xml:space="preserve">Akamai announced plans to offer $1.3B of Convertible Senior Notes due 2030 and $1.3B due 2032 in a private placement to qualified institutional buyers. Simultaneously, the company amended its credit agreement to increase the maximum consolidated leverage ratio covenant to 4.75:1.00 for the fiscal quarters ending June 30 and September 30, 2026. </w:t>
      </w:r>
    </w:p>
    <w:p>
      <w:pPr>
        <w:pStyle w:val="ListBullet"/>
        <w:ind w:left="360" w:hanging="360"/>
      </w:pPr>
      <w:r>
        <w:rPr>
          <w:rFonts w:ascii="Calibri" w:hAnsi="Calibri"/>
          <w:b/>
          <w:color w:val="525866"/>
          <w:sz w:val="22"/>
        </w:rPr>
        <w:t xml:space="preserve">Implication: </w:t>
      </w:r>
      <w:r>
        <w:rPr>
          <w:rFonts w:ascii="Calibri" w:hAnsi="Calibri"/>
          <w:color w:val="525866"/>
          <w:sz w:val="22"/>
        </w:rPr>
        <w:t>The convertible offering signals management’s confidence in the deal pipeline and willingness to use capital markets to fund the CapEx cycle, consistent with the Q1 call commentary that the company “has no problem raising money in the capital markets if needed.” The leverage covenant amendment is a practical accommodation for the CapEx-heavy H1 2026 period.</w:t>
      </w:r>
    </w:p>
    <w:p>
      <w:pPr>
        <w:pStyle w:val="ListBullet"/>
        <w:ind w:left="360" w:hanging="360"/>
      </w:pPr>
      <w:r>
        <w:rPr>
          <w:rFonts w:ascii="Calibri" w:hAnsi="Calibri"/>
          <w:b/>
          <w:color w:val="525866"/>
          <w:sz w:val="22"/>
        </w:rPr>
        <w:t xml:space="preserve">June 9, 2026 — Cloudflare Investor Day. </w:t>
      </w:r>
      <w:r>
        <w:rPr>
          <w:rFonts w:ascii="Calibri" w:hAnsi="Calibri"/>
          <w:color w:val="525866"/>
          <w:sz w:val="22"/>
        </w:rPr>
        <w:t>Cloudflare held its Investor Day with extensive commentary on AI-driven demand, security urgency, and edge compute trends (see Section 6B for full read-through analysis).</w:t>
      </w:r>
    </w:p>
    <w:p>
      <w:pPr>
        <w:pStyle w:val="ListBullet"/>
        <w:ind w:left="360" w:hanging="360"/>
      </w:pPr>
      <w:r>
        <w:rPr>
          <w:rFonts w:ascii="Calibri" w:hAnsi="Calibri"/>
          <w:b/>
          <w:color w:val="525866"/>
          <w:sz w:val="22"/>
        </w:rPr>
        <w:t xml:space="preserve">June 30, 2026 — Palo Alto &amp; CrowdStrike Record Quarters. </w:t>
      </w:r>
      <w:r>
        <w:rPr>
          <w:rFonts w:ascii="Calibri" w:hAnsi="Calibri"/>
          <w:color w:val="525866"/>
          <w:sz w:val="22"/>
        </w:rPr>
        <w:t>Both cybersecurity peers reported record quarters fueled by AI-driven threat escalation, validating the strong enterprise security demand environment that benefits AKAM’s security portfolio.</w:t>
      </w:r>
    </w:p>
    <w:p>
      <w:pPr>
        <w:pStyle w:val="ListBullet"/>
        <w:ind w:left="360" w:hanging="360"/>
      </w:pPr>
      <w:r>
        <w:rPr>
          <w:rFonts w:ascii="Calibri" w:hAnsi="Calibri"/>
          <w:b/>
          <w:color w:val="525866"/>
          <w:sz w:val="22"/>
        </w:rPr>
        <w:t xml:space="preserve">July 14, 2026 — IBM Earnings Warning Boosts Cybersecurity Stocks. </w:t>
      </w:r>
      <w:r>
        <w:rPr>
          <w:rFonts w:ascii="Calibri" w:hAnsi="Calibri"/>
          <w:color w:val="525866"/>
          <w:sz w:val="22"/>
        </w:rPr>
        <w:t>IBM’s Q2 miss and CEO cybersecurity commentary drove a 10% surge in CrowdStrike and peers, reinforcing that security spending is being prioritized even as broader IT budgets face pressure.</w:t>
      </w:r>
    </w:p>
    <w:p>
      <w:pPr>
        <w:pStyle w:val="ListBullet"/>
        <w:ind w:left="360" w:hanging="360"/>
      </w:pPr>
      <w:r>
        <w:rPr>
          <w:rFonts w:ascii="Calibri" w:hAnsi="Calibri"/>
          <w:b/>
          <w:color w:val="525866"/>
          <w:sz w:val="22"/>
        </w:rPr>
        <w:t xml:space="preserve">August 5, 2026 — Fastly Q2 2026 Earnings Beat. </w:t>
      </w:r>
      <w:r>
        <w:rPr>
          <w:rFonts w:ascii="Calibri" w:hAnsi="Calibri"/>
          <w:color w:val="525866"/>
          <w:sz w:val="22"/>
        </w:rPr>
        <w:t>Fastly reported record Q2 revenue of $183.3M (+23% YoY), beating guidance across delivery, security, and compute. Strong AI traffic tailwinds and security demand are positive read-throughs for AKAM (see Section 6A for full analysis).</w:t>
      </w:r>
    </w:p>
    <w:p>
      <w:r>
        <w:rPr>
          <w:rFonts w:ascii="Calibri" w:hAnsi="Calibri"/>
          <w:i/>
          <w:color w:val="525866"/>
          <w:sz w:val="22"/>
        </w:rPr>
        <w:t>Sources: AKAM 8-K filings (May 7, May 13, May 18, 2026); Q1 2026 Earnings Call Transcript; Fastly Q2 2026 Earnings Release; Cloudflare Investor Day Transcript; public news sources.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All three insider transactions since Q1 earnings are </w:t>
      </w:r>
      <w:r>
        <w:rPr>
          <w:rFonts w:ascii="Calibri" w:hAnsi="Calibri"/>
          <w:b/>
          <w:color w:val="525866"/>
          <w:sz w:val="22"/>
        </w:rPr>
        <w:t>10b5-1 planned sales</w:t>
      </w:r>
      <w:r>
        <w:rPr>
          <w:rFonts w:ascii="Calibri" w:hAnsi="Calibri"/>
          <w:color w:val="525866"/>
          <w:sz w:val="22"/>
        </w:rPr>
        <w:t xml:space="preserve"> — routine, pre-scheduled dispositions with no discretionary signal. There are no open-market buys or unusual discretionary sales. The absence of any open-market buying is notable given the stock’s post-earnings pullback, but the company itself has been an active buyer (repurchased ~$206M of stock in Q1 2026).</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Joseph Paul C</w:t>
            </w:r>
          </w:p>
        </w:tc>
        <w:tc>
          <w:tcPr>
            <w:tcW w:type="dxa" w:w="1440"/>
          </w:tcPr>
          <w:p>
            <w:r>
              <w:rPr>
                <w:rFonts w:ascii="Calibri" w:hAnsi="Calibri"/>
                <w:sz w:val="22"/>
              </w:rPr>
              <w:t>EVP — Global Sales</w:t>
            </w:r>
          </w:p>
        </w:tc>
        <w:tc>
          <w:tcPr>
            <w:tcW w:type="dxa" w:w="1440"/>
          </w:tcPr>
          <w:p>
            <w:r>
              <w:rPr>
                <w:rFonts w:ascii="Calibri" w:hAnsi="Calibri"/>
                <w:sz w:val="22"/>
              </w:rPr>
              <w:t>10b5-1 Planned Sale</w:t>
            </w:r>
          </w:p>
        </w:tc>
        <w:tc>
          <w:tcPr>
            <w:tcW w:type="dxa" w:w="1440"/>
          </w:tcPr>
          <w:p>
            <w:r>
              <w:rPr>
                <w:rFonts w:ascii="Calibri" w:hAnsi="Calibri"/>
                <w:sz w:val="22"/>
              </w:rPr>
              <w:t>3,100 shares</w:t>
            </w:r>
          </w:p>
        </w:tc>
        <w:tc>
          <w:tcPr>
            <w:tcW w:type="dxa" w:w="1440"/>
          </w:tcPr>
          <w:p>
            <w:r>
              <w:rPr>
                <w:rFonts w:ascii="Calibri" w:hAnsi="Calibri"/>
                <w:sz w:val="22"/>
              </w:rPr>
              <w:t>July 15, 2026</w:t>
            </w:r>
          </w:p>
        </w:tc>
        <w:tc>
          <w:tcPr>
            <w:tcW w:type="dxa" w:w="1440"/>
          </w:tcPr>
          <w:p>
            <w:r>
              <w:rPr>
                <w:rFonts w:ascii="Calibri" w:hAnsi="Calibri"/>
                <w:sz w:val="22"/>
              </w:rPr>
              <w:t>Pre-scheduled plan; 31,572 shares remaining post-sale; no discretionary signal</w:t>
            </w:r>
          </w:p>
        </w:tc>
      </w:tr>
      <w:tr>
        <w:tc>
          <w:tcPr>
            <w:tcW w:type="dxa" w:w="1440"/>
          </w:tcPr>
          <w:p>
            <w:r>
              <w:rPr>
                <w:rFonts w:ascii="Calibri" w:hAnsi="Calibri"/>
                <w:sz w:val="22"/>
              </w:rPr>
              <w:t>Blumofe Robert</w:t>
            </w:r>
          </w:p>
        </w:tc>
        <w:tc>
          <w:tcPr>
            <w:tcW w:type="dxa" w:w="1440"/>
          </w:tcPr>
          <w:p>
            <w:r>
              <w:rPr>
                <w:rFonts w:ascii="Calibri" w:hAnsi="Calibri"/>
                <w:sz w:val="22"/>
              </w:rPr>
              <w:t>Chief Technology Officer</w:t>
            </w:r>
          </w:p>
        </w:tc>
        <w:tc>
          <w:tcPr>
            <w:tcW w:type="dxa" w:w="1440"/>
          </w:tcPr>
          <w:p>
            <w:r>
              <w:rPr>
                <w:rFonts w:ascii="Calibri" w:hAnsi="Calibri"/>
                <w:sz w:val="22"/>
              </w:rPr>
              <w:t>10b5-1 Planned Sale</w:t>
            </w:r>
          </w:p>
        </w:tc>
        <w:tc>
          <w:tcPr>
            <w:tcW w:type="dxa" w:w="1440"/>
          </w:tcPr>
          <w:p>
            <w:r>
              <w:rPr>
                <w:rFonts w:ascii="Calibri" w:hAnsi="Calibri"/>
                <w:sz w:val="22"/>
              </w:rPr>
              <w:t>243 shares</w:t>
            </w:r>
          </w:p>
        </w:tc>
        <w:tc>
          <w:tcPr>
            <w:tcW w:type="dxa" w:w="1440"/>
          </w:tcPr>
          <w:p>
            <w:r>
              <w:rPr>
                <w:rFonts w:ascii="Calibri" w:hAnsi="Calibri"/>
                <w:sz w:val="22"/>
              </w:rPr>
              <w:t>June 18, 2026</w:t>
            </w:r>
          </w:p>
        </w:tc>
        <w:tc>
          <w:tcPr>
            <w:tcW w:type="dxa" w:w="1440"/>
          </w:tcPr>
          <w:p>
            <w:r>
              <w:rPr>
                <w:rFonts w:ascii="Calibri" w:hAnsi="Calibri"/>
                <w:sz w:val="22"/>
              </w:rPr>
              <w:t>Very small pre-scheduled sale; 31,006 shares remaining; routine</w:t>
            </w:r>
          </w:p>
        </w:tc>
      </w:tr>
      <w:tr>
        <w:tc>
          <w:tcPr>
            <w:tcW w:type="dxa" w:w="1440"/>
          </w:tcPr>
          <w:p>
            <w:r>
              <w:rPr>
                <w:rFonts w:ascii="Calibri" w:hAnsi="Calibri"/>
                <w:sz w:val="22"/>
              </w:rPr>
              <w:t>Salem-Jackson Kim</w:t>
            </w:r>
          </w:p>
        </w:tc>
        <w:tc>
          <w:tcPr>
            <w:tcW w:type="dxa" w:w="1440"/>
          </w:tcPr>
          <w:p>
            <w:r>
              <w:rPr>
                <w:rFonts w:ascii="Calibri" w:hAnsi="Calibri"/>
                <w:sz w:val="22"/>
              </w:rPr>
              <w:t>EVP, Chief Marketing Officer</w:t>
            </w:r>
          </w:p>
        </w:tc>
        <w:tc>
          <w:tcPr>
            <w:tcW w:type="dxa" w:w="1440"/>
          </w:tcPr>
          <w:p>
            <w:r>
              <w:rPr>
                <w:rFonts w:ascii="Calibri" w:hAnsi="Calibri"/>
                <w:sz w:val="22"/>
              </w:rPr>
              <w:t>10b5-1 Planned Sale</w:t>
            </w:r>
          </w:p>
        </w:tc>
        <w:tc>
          <w:tcPr>
            <w:tcW w:type="dxa" w:w="1440"/>
          </w:tcPr>
          <w:p>
            <w:r>
              <w:rPr>
                <w:rFonts w:ascii="Calibri" w:hAnsi="Calibri"/>
                <w:sz w:val="22"/>
              </w:rPr>
              <w:t>2,300 shares</w:t>
            </w:r>
          </w:p>
        </w:tc>
        <w:tc>
          <w:tcPr>
            <w:tcW w:type="dxa" w:w="1440"/>
          </w:tcPr>
          <w:p>
            <w:r>
              <w:rPr>
                <w:rFonts w:ascii="Calibri" w:hAnsi="Calibri"/>
                <w:sz w:val="22"/>
              </w:rPr>
              <w:t>June 10, 2026</w:t>
            </w:r>
          </w:p>
        </w:tc>
        <w:tc>
          <w:tcPr>
            <w:tcW w:type="dxa" w:w="1440"/>
          </w:tcPr>
          <w:p>
            <w:r>
              <w:rPr>
                <w:rFonts w:ascii="Calibri" w:hAnsi="Calibri"/>
                <w:sz w:val="22"/>
              </w:rPr>
              <w:t>Pre-scheduled plan; 59,210 shares remaining post-sale; no discretionary signal</w:t>
            </w:r>
          </w:p>
        </w:tc>
      </w:tr>
    </w:tbl>
    <w:p>
      <w:r>
        <w:rPr>
          <w:rFonts w:ascii="Calibri" w:hAnsi="Calibri"/>
          <w:color w:val="525866"/>
          <w:sz w:val="22"/>
        </w:rPr>
        <w:t>All three transactions are 10b5-1 pre-planned sales — none are discretionary open-market sales. The sale sizes are modest relative to remaining holdings (the CTO sold only 243 shares). There are no open-market purchases by insiders since Q1 earnings, which is a mild negative signal given the stock’s pullback from post-earnings highs, but the company’s own buyback program ($975M remaining authorization as of Q1) is the more meaningful capital allocation signal.</w:t>
      </w:r>
    </w:p>
    <w:p>
      <w:r>
        <w:rPr>
          <w:rFonts w:ascii="Calibri" w:hAnsi="Calibri"/>
          <w:i/>
          <w:color w:val="525866"/>
          <w:sz w:val="22"/>
        </w:rPr>
        <w:t>Source: SEC Form 4 Filings Database; Form 4 filings for Joseph Paul C (July 15, 2026), Robert Blumofe (June 18, 2026), Kim Salem-Jackson (June 10,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