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b-earnings-predictions--2026-08-05"/>
    <w:p>
      <w:pPr>
        <w:pStyle w:val="Heading1"/>
      </w:pPr>
      <w:r>
        <w:t xml:space="preserve">ALB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3.20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Adj. EBITDA scenario framework (~$20/kg lithium)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2.4</m:t>
              </m:r>
              <m:r>
                <m:rPr>
                  <m:sty m:val="p"/>
                </m:rPr>
                <m:t>−</m:t>
              </m:r>
              <m:r>
                <m:t>2.6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H2'26 lithium price / Energy Storage volume commentary (contract-lag rollover into softer spot)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~flat vol / no lean above</w:t>
            </w:r>
            <w:r>
              <w:t xml:space="preserve"> </w:t>
            </w:r>
            <m:oMath>
              <m:r>
                <m:t>20</m:t>
              </m:r>
              <m:r>
                <m:t>s</m:t>
              </m:r>
              <m:r>
                <m:t>c</m:t>
              </m:r>
              <m:r>
                <m:t>e</m:t>
              </m:r>
              <m:r>
                <m:t>n</m:t>
              </m:r>
              <m:r>
                <m:t>a</m:t>
              </m:r>
              <m:r>
                <m:t>r</m:t>
              </m:r>
              <m:r>
                <m:t>i</m:t>
              </m:r>
              <m:r>
                <m:t>o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h</m:t>
              </m:r>
              <m:r>
                <m:t>o</m:t>
              </m:r>
              <m:r>
                <m:t>p</m:t>
              </m:r>
              <m:r>
                <m:t>i</m:t>
              </m:r>
              <m:r>
                <m:t>n</m:t>
              </m:r>
              <m:r>
                <m:t>g</m:t>
              </m:r>
              <m:r>
                <m:t>f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30/kg lean (H2'26)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Specialties (bromine)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225</m:t>
              </m:r>
              <m:r>
                <m:rPr>
                  <m:sty m:val="p"/>
                </m:rPr>
                <m:t>−</m:t>
              </m:r>
              <m:r>
                <m:t>275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255M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Middle East unmitigated cost impact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70</m:t>
              </m:r>
              <m:r>
                <m:rPr>
                  <m:sty m:val="p"/>
                </m:rPr>
                <m:t>−</m:t>
              </m:r>
              <m:r>
                <m:t>90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80M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The likely Q2 headline beat is a backward-looking artifact of the ~1-quarter contract-pricing lag (Q2 realized captures Q1's ~$20-27/kg spot). With June/July spot softening, EV demand soft (China -15%, NA -25% YTD) and demand-destruction risk flagged near break-even, the out-period math implies H2 estimate cuts even after a beat; harder H2 volume comps, Greenbushes JV friction and 2026 contract roll-offs cap follow-through, so an oversold-driven day-1 pop fades toward a smaller cumulative residual.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2026-08-05T01:21:58Z</dcterms:created>
  <dcterms:modified xsi:type="dcterms:W3CDTF">2026-08-05T01:21:58Z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