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context to write a comprehensive earnings preview.# Albemarle Corporation (ALB) — Q2 2026 Earnings Preview</w:t>
      </w:r>
      <w:r>
        <w:t xml:space="preserve"> </w:t>
      </w:r>
      <w:r>
        <w:rPr>
          <w:b/>
          <w:bCs/>
        </w:rPr>
        <w:t xml:space="preserve">Report Date:</w:t>
      </w:r>
      <w:r>
        <w:t xml:space="preserve"> </w:t>
      </w:r>
      <w:r>
        <w:t xml:space="preserve">Wednesday, August 5, 2026 (after market close) |</w:t>
      </w:r>
      <w:r>
        <w:t xml:space="preserve"> </w:t>
      </w:r>
      <w:r>
        <w:rPr>
          <w:b/>
          <w:bCs/>
        </w:rPr>
        <w:t xml:space="preserve">Call:</w:t>
      </w:r>
      <w:r>
        <w:t xml:space="preserve"> </w:t>
      </w:r>
      <w:r>
        <w:t xml:space="preserve">Thursday, August 6, 8:00 AM ET</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Last close (8/4/26)</w:t>
            </w:r>
          </w:p>
        </w:tc>
        <w:tc>
          <w:tcPr/>
          <w:p>
            <w:pPr>
              <w:pStyle w:val="Compact"/>
            </w:pPr>
            <w:r>
              <w:t xml:space="preserve">~$120.85</w:t>
            </w:r>
          </w:p>
        </w:tc>
      </w:tr>
      <w:tr>
        <w:tc>
          <w:tcPr/>
          <w:p>
            <w:pPr>
              <w:pStyle w:val="Compact"/>
            </w:pPr>
            <w:r>
              <w:t xml:space="preserve">52-week range (approx.)</w:t>
            </w:r>
          </w:p>
        </w:tc>
        <w:tc>
          <w:tcPr/>
          <w:p>
            <w:pPr>
              <w:pStyle w:val="Compact"/>
            </w:pPr>
            <w:r>
              <w:t xml:space="preserve">$118 – $216</w:t>
            </w:r>
          </w:p>
        </w:tc>
      </w:tr>
      <w:tr>
        <w:tc>
          <w:tcPr/>
          <w:p>
            <w:pPr>
              <w:pStyle w:val="Compact"/>
            </w:pPr>
            <w:r>
              <w:t xml:space="preserve">YTD performance</w:t>
            </w:r>
          </w:p>
        </w:tc>
        <w:tc>
          <w:tcPr/>
          <w:p>
            <w:pPr>
              <w:pStyle w:val="Compact"/>
            </w:pPr>
            <w:r>
              <w:t xml:space="preserve">Down sharply from April/May highs (~-44% off the April 16 peak of $215.62)</w:t>
            </w:r>
          </w:p>
        </w:tc>
      </w:tr>
      <w:tr>
        <w:tc>
          <w:tcPr/>
          <w:p>
            <w:pPr>
              <w:pStyle w:val="Compact"/>
            </w:pPr>
            <w:r>
              <w:t xml:space="preserve">Consensus Q2 EPS</w:t>
            </w:r>
          </w:p>
        </w:tc>
        <w:tc>
          <w:tcPr/>
          <w:p>
            <w:pPr>
              <w:pStyle w:val="Compact"/>
            </w:pPr>
            <w:r>
              <w:t xml:space="preserve">~</w:t>
            </w:r>
            <m:oMath>
              <m:r>
                <m:t>3.12</m:t>
              </m:r>
              <m:r>
                <m:rPr>
                  <m:sty m:val="p"/>
                </m:rPr>
                <m:t>–</m:t>
              </m:r>
            </m:oMath>
            <w:r>
              <w:t xml:space="preserve">3.35 (adjusted)</w:t>
            </w:r>
          </w:p>
        </w:tc>
      </w:tr>
      <w:tr>
        <w:tc>
          <w:tcPr/>
          <w:p>
            <w:pPr>
              <w:pStyle w:val="Compact"/>
            </w:pPr>
            <w:r>
              <w:t xml:space="preserve">Consensus Q2 Revenue</w:t>
            </w:r>
          </w:p>
        </w:tc>
        <w:tc>
          <w:tcPr/>
          <w:p>
            <w:pPr>
              <w:pStyle w:val="Compact"/>
            </w:pPr>
            <w:r>
              <w:t xml:space="preserve">~$1.59B (+~19% y/y)</w:t>
            </w:r>
          </w:p>
        </w:tc>
      </w:tr>
      <w:tr>
        <w:tc>
          <w:tcPr/>
          <w:p>
            <w:pPr>
              <w:pStyle w:val="Compact"/>
            </w:pPr>
            <w:r>
              <w:t xml:space="preserve">Average analyst price target</w:t>
            </w:r>
          </w:p>
        </w:tc>
        <w:tc>
          <w:tcPr/>
          <w:p>
            <w:pPr>
              <w:pStyle w:val="Compact"/>
            </w:pPr>
            <w:r>
              <w:t xml:space="preserve">~</w:t>
            </w:r>
            <m:oMath>
              <m:r>
                <m:t>195</m:t>
              </m:r>
              <m:r>
                <m:rPr>
                  <m:sty m:val="p"/>
                </m:rPr>
                <m:t>–</m:t>
              </m:r>
            </m:oMath>
            <w:r>
              <w:t xml:space="preserve">220 (Buy/Moderate Buy consensus)</w:t>
            </w:r>
          </w:p>
        </w:tc>
      </w:tr>
    </w:tbl>
    <w:p>
      <w:pPr>
        <w:pStyle w:val="BodyText"/>
      </w:pPr>
      <w:r>
        <w:t xml:space="preserve">The stock has been cut nearly in half since mid-May even as the company's own Q1 print was one of its best in years — that disconnect is the central tension investors need to resolve heading into Wednesday's report.</w:t>
      </w:r>
    </w:p>
    <w:p>
      <w:r>
        <w:pict>
          <v:rect style="width:0;height:1.5pt" o:hralign="center" o:hrstd="t" o:hr="t"/>
        </w:pict>
      </w:r>
    </w:p>
    <w:bookmarkEnd w:id="9"/>
    <w:bookmarkStart w:id="10" w:name="Xf0f7e0f4bccadf582346f7470002e7cd744691a"/>
    <w:p>
      <w:pPr>
        <w:pStyle w:val="Heading2"/>
      </w:pPr>
      <w:r>
        <w:t xml:space="preserve">1. Setting the stage: a blowout Q1, then a violent reversal</w:t>
      </w:r>
    </w:p>
    <w:p>
      <w:pPr>
        <w:pStyle w:val="FirstParagraph"/>
      </w:pPr>
      <w:r>
        <w:t xml:space="preserve">Albemarle's first-quarter 2026 results, reported May 6, were strong across the board. The company reported</w:t>
      </w:r>
      <w:r>
        <w:t xml:space="preserve"> </w:t>
      </w:r>
      <w:r>
        <w:rPr>
          <w:b/>
          <w:bCs/>
        </w:rPr>
        <w:t xml:space="preserve">net sales of $1.4 billion, up 33% year-over-year, driven by higher volumes and pricing in Energy Storage (volumes +14%, price +51%) and Specialties (volumes +7%, price +2%)</w:t>
      </w:r>
      <w:r>
        <w:t xml:space="preserve">, with</w:t>
      </w:r>
      <w:r>
        <w:t xml:space="preserve"> </w:t>
      </w:r>
      <w:r>
        <w:rPr>
          <w:b/>
          <w:bCs/>
        </w:rPr>
        <w:t xml:space="preserve">adjusted EBITDA of $664 million, up 148%</w:t>
      </w:r>
      <w:r>
        <w:t xml:space="preserve">, and adjusted diluted EPS of $2.95 versus a loss a year earlier. Energy Storage EBITDA nearly tripled and Specialties EBITDA grew 30%. Management also raised full-year Specialties guidance (net sales to</w:t>
      </w:r>
      <w:r>
        <w:t xml:space="preserve"> </w:t>
      </w:r>
      <m:oMath>
        <m:r>
          <m:t>1.3</m:t>
        </m:r>
        <m:r>
          <m:rPr>
            <m:sty m:val="p"/>
          </m:rPr>
          <m:t>–</m:t>
        </m:r>
      </m:oMath>
      <w:r>
        <w:t xml:space="preserve">1.5B, EBITDA to</w:t>
      </w:r>
      <w:r>
        <w:t xml:space="preserve"> </w:t>
      </w:r>
      <m:oMath>
        <m:r>
          <m:t>225</m:t>
        </m:r>
        <m:r>
          <m:rPr>
            <m:sty m:val="p"/>
          </m:rPr>
          <m:t>–</m:t>
        </m:r>
      </m:oMath>
      <w:r>
        <w:t xml:space="preserve">275M) and executed aggressive balance-sheet work, paying down $1.3 billion of debt after closing the Eurecat and Ketjen divestitures, taking net debt/EBITDA to roughly 1.0x.</w:t>
      </w:r>
    </w:p>
    <w:p>
      <w:pPr>
        <w:pStyle w:val="BodyText"/>
      </w:pPr>
      <w:r>
        <w:t xml:space="preserve">The stock initially responded well, rallying into mid-May. But since then, ALB has fallen from the ~</w:t>
      </w:r>
      <m:oMath>
        <m:r>
          <m:t>205</m:t>
        </m:r>
        <m:r>
          <m:rPr>
            <m:sty m:val="p"/>
          </m:rPr>
          <m:t>–</m:t>
        </m:r>
      </m:oMath>
      <w:r>
        <w:t xml:space="preserve">210 area to roughly</w:t>
      </w:r>
      <w:r>
        <w:t xml:space="preserve"> </w:t>
      </w:r>
      <m:oMath>
        <m:r>
          <m:t>118</m:t>
        </m:r>
        <m:r>
          <m:rPr>
            <m:sty m:val="p"/>
          </m:rPr>
          <m:t>–</m:t>
        </m:r>
      </m:oMath>
      <w:r>
        <w:t xml:space="preserve">121 — a decline mirrored almost exactly by lithium peer SQM (down from ~</w:t>
      </w:r>
      <m:oMath>
        <m:r>
          <m:t>94</m:t>
        </m:r>
        <m:r>
          <m:t>t</m:t>
        </m:r>
        <m:r>
          <m:t>o</m:t>
        </m:r>
        <m:r>
          <m:t> </m:t>
        </m:r>
      </m:oMath>
      <w:r>
        <w:t xml:space="preserve">68 over the same window), while the broader market (S&amp;P 500) and the materials sector ETF (XLB) were roughly flat to higher. That is the tell: this is a</w:t>
      </w:r>
      <w:r>
        <w:t xml:space="preserve"> </w:t>
      </w:r>
      <w:r>
        <w:rPr>
          <w:b/>
          <w:bCs/>
        </w:rPr>
        <w:t xml:space="preserve">lithium-price story, not an Albemarle-specific operating problem</w:t>
      </w:r>
      <w:r>
        <w:t xml:space="preserve">.</w:t>
      </w:r>
    </w:p>
    <w:bookmarkEnd w:id="10"/>
    <w:bookmarkStart w:id="11" w:name="Xf10022d7ce10180a600602fd3a0dfff4ed7bcd6"/>
    <w:p>
      <w:pPr>
        <w:pStyle w:val="Heading2"/>
      </w:pPr>
      <w:r>
        <w:t xml:space="preserve">2. Why lithium (and ALB) rolled over: the Jianxiawo mine restart</w:t>
      </w:r>
    </w:p>
    <w:p>
      <w:pPr>
        <w:pStyle w:val="FirstParagraph"/>
      </w:pPr>
      <w:r>
        <w:t xml:space="preserve">The entire 2025–early 2026 lithium rally was largely a supply story. CATL's Jianxiawo mine in Jiangxi province — which accounted for roughly 8–10% of China's lithium carbonate output — lost its safety production permit in August 2025 and went offline, helping push spot lithium carbonate up sharply and giving Albemarle the pricing tailwind visible in its Q1 numbers (management referenced Q1 2026 average market pricing of ~</w:t>
      </w:r>
      <m:oMath>
        <m:r>
          <m:t>20</m:t>
        </m:r>
        <m:r>
          <m:rPr>
            <m:sty m:val="p"/>
          </m:rPr>
          <m:t>/</m:t>
        </m:r>
        <m:r>
          <m:t>k</m:t>
        </m:r>
        <m:r>
          <m:t>g</m:t>
        </m:r>
        <m:r>
          <m:t>L</m:t>
        </m:r>
        <m:r>
          <m:t>C</m:t>
        </m:r>
        <m:r>
          <m:t>E</m:t>
        </m:r>
        <m:r>
          <m:t>v</m:t>
        </m:r>
        <m:r>
          <m:t>e</m:t>
        </m:r>
        <m:r>
          <m:t>r</m:t>
        </m:r>
        <m:r>
          <m:t>s</m:t>
        </m:r>
        <m:r>
          <m:t>u</m:t>
        </m:r>
        <m:r>
          <m:t>s</m:t>
        </m:r>
        <m:r>
          <m:t>a</m:t>
        </m:r>
        <m:r>
          <m:t> </m:t>
        </m:r>
      </m:oMath>
      <w:r>
        <w:t xml:space="preserve">10/kg average in 2025, with spot approaching</w:t>
      </w:r>
      <w:r>
        <w:t xml:space="preserve"> </w:t>
      </w:r>
      <w:r>
        <w:rPr>
          <w:b/>
          <w:bCs/>
        </w:rPr>
        <w:t xml:space="preserve">$27/kg</w:t>
      </w:r>
      <w:r>
        <w:t xml:space="preserve"> </w:t>
      </w:r>
      <w:r>
        <w:t xml:space="preserve">by the time of the May earnings call).</w:t>
      </w:r>
    </w:p>
    <w:p>
      <w:pPr>
        <w:pStyle w:val="BodyText"/>
      </w:pPr>
      <w:r>
        <w:t xml:space="preserve">That supply squeeze began unwinding in late June: CATL received a new safety permit (valid June 29, 2026–February 27, 2028) and</w:t>
      </w:r>
      <w:r>
        <w:t xml:space="preserve"> </w:t>
      </w:r>
      <w:r>
        <w:rPr>
          <w:b/>
          <w:bCs/>
        </w:rPr>
        <w:t xml:space="preserve">restarted Jianxiawo on June 29</w:t>
      </w:r>
      <w:r>
        <w:t xml:space="preserve">, while other idled capacity (Mineral Resources' Bald Hill, Core Lithium's Finniss) also came back online. Lithium carbonate futures fell roughly 10% over two sessions to a 10-week low in the days around the restart news, and by late July reports pointed to</w:t>
      </w:r>
      <w:r>
        <w:t xml:space="preserve"> </w:t>
      </w:r>
      <w:r>
        <w:rPr>
          <w:b/>
          <w:bCs/>
        </w:rPr>
        <w:t xml:space="preserve">lithium prices hitting a five-month low on oversupply concerns, with global lithium production now projected to grow 26% year-over-year in 2026</w:t>
      </w:r>
      <w:r>
        <w:t xml:space="preserve">. That has been the proximate trigger for the sector-wide de-rating in ALB and SQM shares through July.</w:t>
      </w:r>
    </w:p>
    <w:p>
      <w:pPr>
        <w:pStyle w:val="BodyText"/>
      </w:pPr>
      <w:r>
        <w:t xml:space="preserve">Sell-side has responded accordingly: Scotiabank cut its Q2 2026 EPS estimate for Albemarle to $4.01 from $4.24 in late July while maintaining an Outperform rating, and has full-year 2026/2027 EPS estimates of roughly</w:t>
      </w:r>
      <w:r>
        <w:t xml:space="preserve"> </w:t>
      </w:r>
      <m:oMath>
        <m:r>
          <m:t>14.76</m:t>
        </m:r>
        <m:r>
          <m:rPr>
            <m:sty m:val="p"/>
          </m:rPr>
          <m:t>/</m:t>
        </m:r>
      </m:oMath>
      <w:r>
        <w:t xml:space="preserve">15.56 — well above the shorter-run Street consensus figures circulating for the quarter itself (~</w:t>
      </w:r>
      <m:oMath>
        <m:r>
          <m:t>3.12</m:t>
        </m:r>
        <m:r>
          <m:rPr>
            <m:sty m:val="p"/>
          </m:rPr>
          <m:t>–</m:t>
        </m:r>
      </m:oMath>
      <w:r>
        <w:t xml:space="preserve">3.35), reflecting how quickly numbers are moving. Notably, average price targets across the sell side (commonly cited in the</w:t>
      </w:r>
      <w:r>
        <w:t xml:space="preserve"> </w:t>
      </w:r>
      <m:oMath>
        <m:r>
          <m:t>195</m:t>
        </m:r>
        <m:r>
          <m:rPr>
            <m:sty m:val="p"/>
          </m:rPr>
          <m:t>–</m:t>
        </m:r>
      </m:oMath>
      <w:r>
        <w:t xml:space="preserve">220 range) still imply 60%+ upside from the current ~$120 share price — a gap that likely narrows via target cuts, a sharp snap-back in the stock, or both once Q2 numbers and fresh commentary are in hand.</w:t>
      </w:r>
    </w:p>
    <w:bookmarkEnd w:id="11"/>
    <w:bookmarkStart w:id="12" w:name="Xa7413ca37e7b2f0e92b070c18aff2f857487a46"/>
    <w:p>
      <w:pPr>
        <w:pStyle w:val="Heading2"/>
      </w:pPr>
      <w:r>
        <w:t xml:space="preserve">3. What to expect operationally in Q2</w:t>
      </w:r>
    </w:p>
    <w:p>
      <w:pPr>
        <w:pStyle w:val="FirstParagraph"/>
      </w:pPr>
      <w:r>
        <w:t xml:space="preserve">On the Q1 call, management gave fairly specific sequential guidance that investors should hold the print up against:</w:t>
      </w:r>
    </w:p>
    <w:p>
      <w:pPr>
        <w:pStyle w:val="Compact"/>
        <w:numPr>
          <w:ilvl w:val="0"/>
          <w:numId w:val="1001"/>
        </w:numPr>
      </w:pPr>
      <w:r>
        <w:rPr>
          <w:b/>
          <w:bCs/>
        </w:rPr>
        <w:t xml:space="preserve">Energy Storage:</w:t>
      </w:r>
      <w:r>
        <w:t xml:space="preserve"> </w:t>
      </w:r>
      <w:r>
        <w:t xml:space="preserve">Net sales and EBITDA guided</w:t>
      </w:r>
      <w:r>
        <w:t xml:space="preserve"> </w:t>
      </w:r>
      <w:r>
        <w:rPr>
          <w:b/>
          <w:bCs/>
        </w:rPr>
        <w:t xml:space="preserve">up sequentially</w:t>
      </w:r>
      <w:r>
        <w:t xml:space="preserve"> </w:t>
      </w:r>
      <w:r>
        <w:t xml:space="preserve">versus Q1, helped by higher volumes and the ~one-quarter lag by which long-term contract pricing catches up to spot. However,</w:t>
      </w:r>
      <w:r>
        <w:t xml:space="preserve"> </w:t>
      </w:r>
      <w:r>
        <w:rPr>
          <w:b/>
          <w:bCs/>
        </w:rPr>
        <w:t xml:space="preserve">EBITDA margin was guided to compress sequentially</w:t>
      </w:r>
      <w:r>
        <w:t xml:space="preserve"> </w:t>
      </w:r>
      <w:r>
        <w:t xml:space="preserve">due to spodumene inventory-timing effects normalizing and higher costs tied to Middle East-related supply chain disruption (an unmitigated ~$70–90 million full-year cost headwind flagged by the company). Given that spot lithium pricing has since rolled over from its Q1/early-Q2 highs, the key swing factor is whether realized pricing held up as well as guided, and whether cost inflation from the Middle East situation was fully offset as planned.</w:t>
      </w:r>
    </w:p>
    <w:p>
      <w:pPr>
        <w:pStyle w:val="Compact"/>
        <w:numPr>
          <w:ilvl w:val="0"/>
          <w:numId w:val="1001"/>
        </w:numPr>
      </w:pPr>
      <w:r>
        <w:rPr>
          <w:b/>
          <w:bCs/>
        </w:rPr>
        <w:t xml:space="preserve">Specialties:</w:t>
      </w:r>
      <w:r>
        <w:t xml:space="preserve"> </w:t>
      </w:r>
      <w:r>
        <w:t xml:space="preserve">Guided to</w:t>
      </w:r>
      <w:r>
        <w:t xml:space="preserve"> </w:t>
      </w:r>
      <w:r>
        <w:rPr>
          <w:b/>
          <w:bCs/>
        </w:rPr>
        <w:t xml:space="preserve">sequential net sales growth</w:t>
      </w:r>
      <w:r>
        <w:t xml:space="preserve"> </w:t>
      </w:r>
      <w:r>
        <w:t xml:space="preserve">(higher bromine specialty pricing) and</w:t>
      </w:r>
      <w:r>
        <w:t xml:space="preserve"> </w:t>
      </w:r>
      <w:r>
        <w:rPr>
          <w:b/>
          <w:bCs/>
        </w:rPr>
        <w:t xml:space="preserve">modestly higher EBITDA</w:t>
      </w:r>
      <w:r>
        <w:t xml:space="preserve">, with margin expected in the high teens for the full year. Watch for commentary on China/India bromine spot pricing normalization flagged as a swing factor for H2 visibility, and on the Jordan Bromine Company JV's recovery from December 2025 flooding.</w:t>
      </w:r>
    </w:p>
    <w:p>
      <w:pPr>
        <w:pStyle w:val="Compact"/>
        <w:numPr>
          <w:ilvl w:val="0"/>
          <w:numId w:val="1001"/>
        </w:numPr>
      </w:pPr>
      <w:r>
        <w:rPr>
          <w:b/>
          <w:bCs/>
        </w:rPr>
        <w:t xml:space="preserve">Volumes:</w:t>
      </w:r>
      <w:r>
        <w:t xml:space="preserve"> </w:t>
      </w:r>
      <w:r>
        <w:t xml:space="preserve">Full-year Energy Storage sales volumes were guided roughly flat year-over-year (tougher comps in H2 after 2025 inventory drawdowns), with sequential improvement in Q2/Q3 versus a seasonally weak Q1. Watch for whether Wodgina's three-train ramp and Greenbushes' CGP3 ramp are tracking to plan — both are the primary near-term production growth levers.</w:t>
      </w:r>
    </w:p>
    <w:p>
      <w:pPr>
        <w:pStyle w:val="Compact"/>
        <w:numPr>
          <w:ilvl w:val="0"/>
          <w:numId w:val="1001"/>
        </w:numPr>
      </w:pPr>
      <w:r>
        <w:rPr>
          <w:b/>
          <w:bCs/>
        </w:rPr>
        <w:t xml:space="preserve">Cost/productivity program:</w:t>
      </w:r>
      <w:r>
        <w:t xml:space="preserve"> </w:t>
      </w:r>
      <w:r>
        <w:t xml:space="preserve">$40 million delivered in Q1 against a full-year target of $100–150 million; look for a Q2 update on trajectory.</w:t>
      </w:r>
    </w:p>
    <w:p>
      <w:pPr>
        <w:pStyle w:val="Compact"/>
        <w:numPr>
          <w:ilvl w:val="0"/>
          <w:numId w:val="1001"/>
        </w:numPr>
      </w:pPr>
      <w:r>
        <w:rPr>
          <w:b/>
          <w:bCs/>
        </w:rPr>
        <w:t xml:space="preserve">Capex/cash flow:</w:t>
      </w:r>
      <w:r>
        <w:t xml:space="preserve"> </w:t>
      </w:r>
      <w:r>
        <w:t xml:space="preserve">Full-year capex guided to $550–600 million; free cash flow conversion targeted at 60–70% at the</w:t>
      </w:r>
      <w:r>
        <w:t xml:space="preserve"> </w:t>
      </w:r>
      <m:oMath>
        <m:r>
          <m:t>20</m:t>
        </m:r>
        <m:r>
          <m:rPr>
            <m:sty m:val="p"/>
          </m:rPr>
          <m:t>/</m:t>
        </m:r>
        <m:r>
          <m:t>k</m:t>
        </m:r>
        <m:r>
          <m:t>g</m:t>
        </m:r>
        <m:r>
          <m:t>s</m:t>
        </m:r>
        <m:r>
          <m:t>c</m:t>
        </m:r>
        <m:r>
          <m:t>e</m:t>
        </m:r>
        <m:r>
          <m:t>n</m:t>
        </m:r>
        <m:r>
          <m:t>a</m:t>
        </m:r>
        <m:r>
          <m:t>r</m:t>
        </m:r>
        <m:r>
          <m:t>i</m:t>
        </m:r>
        <m:r>
          <m:t>o</m:t>
        </m:r>
        <m:r>
          <m:rPr>
            <m:sty m:val="p"/>
          </m:rPr>
          <m:t>.</m:t>
        </m:r>
        <m:r>
          <m:t>W</m:t>
        </m:r>
        <m:r>
          <m:t>i</m:t>
        </m:r>
        <m:r>
          <m:t>t</m:t>
        </m:r>
        <m:r>
          <m:t>h</m:t>
        </m:r>
        <m:r>
          <m:t>K</m:t>
        </m:r>
        <m:r>
          <m:t>e</m:t>
        </m:r>
        <m:r>
          <m:t>m</m:t>
        </m:r>
        <m:r>
          <m:t>e</m:t>
        </m:r>
        <m:r>
          <m:t>r</m:t>
        </m:r>
        <m:r>
          <m:t>t</m:t>
        </m:r>
        <m:r>
          <m:t>o</m:t>
        </m:r>
        <m:r>
          <m:t>n</m:t>
        </m:r>
        <m:r>
          <m:t>T</m:t>
        </m:r>
        <m:r>
          <m:t>r</m:t>
        </m:r>
        <m:r>
          <m:t>a</m:t>
        </m:r>
        <m:r>
          <m:t>i</m:t>
        </m:r>
        <m:r>
          <m:t>n</m:t>
        </m:r>
        <m:r>
          <m:t>1</m:t>
        </m:r>
        <m:r>
          <m:t>i</m:t>
        </m:r>
        <m:r>
          <m:t>n</m:t>
        </m:r>
        <m:r>
          <m:t>c</m:t>
        </m:r>
        <m:r>
          <m:t>a</m:t>
        </m:r>
        <m:r>
          <m:t>r</m:t>
        </m:r>
        <m:r>
          <m:t>e</m:t>
        </m:r>
        <m:r>
          <m:t>a</m:t>
        </m:r>
        <m:r>
          <m:t>n</m:t>
        </m:r>
        <m:r>
          <m:t>d</m:t>
        </m:r>
        <m:r>
          <m:t>m</m:t>
        </m:r>
        <m:r>
          <m:t>a</m:t>
        </m:r>
        <m:r>
          <m:t>i</m:t>
        </m:r>
        <m:r>
          <m:t>n</m:t>
        </m:r>
        <m:r>
          <m:t>t</m:t>
        </m:r>
        <m:r>
          <m:t>e</m:t>
        </m:r>
        <m:r>
          <m:t>n</m:t>
        </m:r>
        <m:r>
          <m:t>a</m:t>
        </m:r>
        <m:r>
          <m:t>n</m:t>
        </m:r>
        <m:r>
          <m:t>c</m:t>
        </m:r>
        <m:r>
          <m:t>e</m:t>
        </m:r>
        <m:r>
          <m:rPr>
            <m:sty m:val="p"/>
          </m:rPr>
          <m:t>(</m:t>
        </m:r>
        <m:r>
          <m:t> </m:t>
        </m:r>
      </m:oMath>
      <w:r>
        <w:t xml:space="preserve">25M cash cost in Q1) and deferred-revenue recognition from the 2025 customer prepayment weighing on cash without helping cash flow, watch cash generation trends closely.</w:t>
      </w:r>
    </w:p>
    <w:bookmarkEnd w:id="12"/>
    <w:bookmarkStart w:id="13" w:name="X14428eda9e035c18381c9c8f1c67c37212e7b44"/>
    <w:p>
      <w:pPr>
        <w:pStyle w:val="Heading2"/>
      </w:pPr>
      <w:r>
        <w:t xml:space="preserve">4. The scenario framework — where does Q2 actually land?</w:t>
      </w:r>
    </w:p>
    <w:p>
      <w:pPr>
        <w:pStyle w:val="FirstParagraph"/>
      </w:pPr>
      <w:r>
        <w:t xml:space="preserve">Albemarle frames full-year guidance around three lithium price scenarios rather than a single point estimate: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Scenario</w:t>
            </w:r>
          </w:p>
        </w:tc>
        <w:tc>
          <w:tcPr/>
          <w:p>
            <w:pPr>
              <w:pStyle w:val="Compact"/>
            </w:pPr>
            <w:r>
              <w:t xml:space="preserve">Avg. lithium price</w:t>
            </w:r>
          </w:p>
        </w:tc>
        <w:tc>
          <w:tcPr/>
          <w:p>
            <w:pPr>
              <w:pStyle w:val="Compact"/>
            </w:pPr>
            <w:r>
              <w:t xml:space="preserve">FY26 Net Sales</w:t>
            </w:r>
          </w:p>
        </w:tc>
        <w:tc>
          <w:tcPr/>
          <w:p>
            <w:pPr>
              <w:pStyle w:val="Compact"/>
            </w:pPr>
            <w:r>
              <w:t xml:space="preserve">FY26 Adj. EBITDA</w:t>
            </w:r>
          </w:p>
        </w:tc>
      </w:tr>
      <w:tr>
        <w:tc>
          <w:tcPr/>
          <w:p>
            <w:pPr>
              <w:pStyle w:val="Compact"/>
            </w:pPr>
            <w:r>
              <w:t xml:space="preserve">FY2025 avg.</w:t>
            </w:r>
          </w:p>
        </w:tc>
        <w:tc>
          <w:tcPr/>
          <w:p>
            <w:pPr>
              <w:pStyle w:val="Compact"/>
            </w:pPr>
            <w:r>
              <w:t xml:space="preserve">~$10/kg</w:t>
            </w:r>
          </w:p>
        </w:tc>
        <w:tc>
          <w:tcPr/>
          <w:p>
            <w:pPr>
              <w:pStyle w:val="Compact"/>
            </w:pPr>
            <m:oMath>
              <m:r>
                <m:t>4.1</m:t>
              </m:r>
              <m:r>
                <m:rPr>
                  <m:sty m:val="p"/>
                </m:rPr>
                <m:t>–</m:t>
              </m:r>
            </m:oMath>
            <w:r>
              <w:t xml:space="preserve">4.3B</w:t>
            </w:r>
          </w:p>
        </w:tc>
        <w:tc>
          <w:tcPr/>
          <w:p>
            <w:pPr>
              <w:pStyle w:val="Compact"/>
            </w:pPr>
            <m:oMath>
              <m:r>
                <m:t>0.9</m:t>
              </m:r>
              <m:r>
                <m:rPr>
                  <m:sty m:val="p"/>
                </m:rPr>
                <m:t>–</m:t>
              </m:r>
            </m:oMath>
            <w:r>
              <w:t xml:space="preserve">1.0B</w:t>
            </w:r>
          </w:p>
        </w:tc>
      </w:tr>
      <w:tr>
        <w:tc>
          <w:tcPr/>
          <w:p>
            <w:pPr>
              <w:pStyle w:val="Compact"/>
            </w:pPr>
            <w:r>
              <w:t xml:space="preserve">Q1 2026 avg.</w:t>
            </w:r>
          </w:p>
        </w:tc>
        <w:tc>
          <w:tcPr/>
          <w:p>
            <w:pPr>
              <w:pStyle w:val="Compact"/>
            </w:pPr>
            <w:r>
              <w:t xml:space="preserve">~$20/kg</w:t>
            </w:r>
          </w:p>
        </w:tc>
        <w:tc>
          <w:tcPr/>
          <w:p>
            <w:pPr>
              <w:pStyle w:val="Compact"/>
            </w:pPr>
            <m:oMath>
              <m:r>
                <m:t>5.7</m:t>
              </m:r>
              <m:r>
                <m:rPr>
                  <m:sty m:val="p"/>
                </m:rPr>
                <m:t>–</m:t>
              </m:r>
            </m:oMath>
            <w:r>
              <w:t xml:space="preserve">6.0B</w:t>
            </w:r>
          </w:p>
        </w:tc>
        <w:tc>
          <w:tcPr/>
          <w:p>
            <w:pPr>
              <w:pStyle w:val="Compact"/>
            </w:pPr>
            <m:oMath>
              <m:r>
                <m:t>2.4</m:t>
              </m:r>
              <m:r>
                <m:rPr>
                  <m:sty m:val="p"/>
                </m:rPr>
                <m:t>–</m:t>
              </m:r>
            </m:oMath>
            <w:r>
              <w:t xml:space="preserve">2.6B</w:t>
            </w:r>
          </w:p>
        </w:tc>
      </w:tr>
      <w:tr>
        <w:tc>
          <w:tcPr/>
          <w:p>
            <w:pPr>
              <w:pStyle w:val="Compact"/>
            </w:pPr>
            <w:r>
              <w:t xml:space="preserve">2021–2025 avg.</w:t>
            </w:r>
          </w:p>
        </w:tc>
        <w:tc>
          <w:tcPr/>
          <w:p>
            <w:pPr>
              <w:pStyle w:val="Compact"/>
            </w:pPr>
            <w:r>
              <w:t xml:space="preserve">~$30/kg</w:t>
            </w:r>
          </w:p>
        </w:tc>
        <w:tc>
          <w:tcPr/>
          <w:p>
            <w:pPr>
              <w:pStyle w:val="Compact"/>
            </w:pPr>
            <m:oMath>
              <m:r>
                <m:t>7.5</m:t>
              </m:r>
              <m:r>
                <m:rPr>
                  <m:sty m:val="p"/>
                </m:rPr>
                <m:t>–</m:t>
              </m:r>
            </m:oMath>
            <w:r>
              <w:t xml:space="preserve">7.8B</w:t>
            </w:r>
          </w:p>
        </w:tc>
        <w:tc>
          <w:tcPr/>
          <w:p>
            <w:pPr>
              <w:pStyle w:val="Compact"/>
            </w:pPr>
            <m:oMath>
              <m:r>
                <m:t>4.2</m:t>
              </m:r>
              <m:r>
                <m:rPr>
                  <m:sty m:val="p"/>
                </m:rPr>
                <m:t>–</m:t>
              </m:r>
            </m:oMath>
            <w:r>
              <w:t xml:space="preserve">4.4B</w:t>
            </w:r>
          </w:p>
        </w:tc>
      </w:tr>
    </w:tbl>
    <w:p>
      <w:pPr>
        <w:pStyle w:val="BodyText"/>
      </w:pPr>
      <w:r>
        <w:t xml:space="preserve">Q1's annualized run rate (adjusted EBITDA of $664M) tracked toward the upper end of the $20/kg scenario, aided by spot prices that briefly pushed toward $27/kg. With prices having since retraced meaningfully off those highs on the Jianxiawo restart and broader supply additions, the key question for Wednesday is</w:t>
      </w:r>
      <w:r>
        <w:t xml:space="preserve"> </w:t>
      </w:r>
      <w:r>
        <w:rPr>
          <w:b/>
          <w:bCs/>
        </w:rPr>
        <w:t xml:space="preserve">whether management narrows, reaffirms, or shifts this scenario framework toward the lower end</w:t>
      </w:r>
      <w:r>
        <w:t xml:space="preserve"> </w:t>
      </w:r>
      <w:r>
        <w:t xml:space="preserve">— and what commentary they offer on where spot pricing has actually landed relative to the $20 midpoint that underpinned the Q1 outlook.</w:t>
      </w:r>
    </w:p>
    <w:bookmarkEnd w:id="13"/>
    <w:bookmarkStart w:id="14" w:name="Xbbc468c8bc710c292b80cd49dc8ee37f3b61efa"/>
    <w:p>
      <w:pPr>
        <w:pStyle w:val="Heading2"/>
      </w:pPr>
      <w:r>
        <w:t xml:space="preserve">5. Other things to listen for on the call</w:t>
      </w:r>
    </w:p>
    <w:p>
      <w:pPr>
        <w:pStyle w:val="Compact"/>
        <w:numPr>
          <w:ilvl w:val="0"/>
          <w:numId w:val="1002"/>
        </w:numPr>
      </w:pPr>
      <w:r>
        <w:rPr>
          <w:b/>
          <w:bCs/>
        </w:rPr>
        <w:t xml:space="preserve">Greenbushes ramp and safety:</w:t>
      </w:r>
      <w:r>
        <w:t xml:space="preserve"> </w:t>
      </w:r>
      <w:r>
        <w:t xml:space="preserve">A JV partner (Talison/IGO) has publicly flagged safety and grade/throughput concerns at Greenbushes; Albemarle pushed back on the Q1 call, insisting the mine and the CGP3 ramp are tracking to plan. Expect analysts to press again given continued reports of worker safety concerns (electrical/substation incidents) at the site.</w:t>
      </w:r>
    </w:p>
    <w:p>
      <w:pPr>
        <w:pStyle w:val="Compact"/>
        <w:numPr>
          <w:ilvl w:val="0"/>
          <w:numId w:val="1002"/>
        </w:numPr>
      </w:pPr>
      <w:r>
        <w:rPr>
          <w:b/>
          <w:bCs/>
        </w:rPr>
        <w:t xml:space="preserve">Wodgina ore quality:</w:t>
      </w:r>
      <w:r>
        <w:t xml:space="preserve"> </w:t>
      </w:r>
      <w:r>
        <w:t xml:space="preserve">Management flagged that ore quality would dip over the next two quarters before improving in Q4 as the Stage 3 pit deepens — a Q2 update on this trajectory matters for near-term volumes.</w:t>
      </w:r>
    </w:p>
    <w:p>
      <w:pPr>
        <w:pStyle w:val="Compact"/>
        <w:numPr>
          <w:ilvl w:val="0"/>
          <w:numId w:val="1002"/>
        </w:numPr>
      </w:pPr>
      <w:r>
        <w:rPr>
          <w:b/>
          <w:bCs/>
        </w:rPr>
        <w:t xml:space="preserve">Contract renewals:</w:t>
      </w:r>
      <w:r>
        <w:t xml:space="preserve"> </w:t>
      </w:r>
      <w:r>
        <w:t xml:space="preserve">Two large long-term contracts roll off at the end of 2026; any incremental color on renegotiation terms (spot vs. contract mix, currently ~60/40) would be a notable data point given how much lithium pricing has moved in both directions this year.</w:t>
      </w:r>
    </w:p>
    <w:p>
      <w:pPr>
        <w:pStyle w:val="Compact"/>
        <w:numPr>
          <w:ilvl w:val="0"/>
          <w:numId w:val="1002"/>
        </w:numPr>
      </w:pPr>
      <w:r>
        <w:rPr>
          <w:b/>
          <w:bCs/>
        </w:rPr>
        <w:t xml:space="preserve">Kings Mountain / Salar de Atacama DLE:</w:t>
      </w:r>
      <w:r>
        <w:t xml:space="preserve"> </w:t>
      </w:r>
      <w:r>
        <w:t xml:space="preserve">Kings Mountain recently received federal mining permits; continued permitting progress and any update on the DLE pilot (&gt;94% lithium recovery cited in Q1) at La Negra are longer-duration catalysts, not near-term earnings drivers, but relevant to the long-term growth algorithm (high-single-digit brownfield growth post-2027).</w:t>
      </w:r>
    </w:p>
    <w:p>
      <w:pPr>
        <w:pStyle w:val="Compact"/>
        <w:numPr>
          <w:ilvl w:val="0"/>
          <w:numId w:val="1002"/>
        </w:numPr>
      </w:pPr>
      <w:r>
        <w:rPr>
          <w:b/>
          <w:bCs/>
        </w:rPr>
        <w:t xml:space="preserve">Balance sheet posture:</w:t>
      </w:r>
      <w:r>
        <w:t xml:space="preserve"> </w:t>
      </w:r>
      <w:r>
        <w:t xml:space="preserve">After paying down $1.3B in Q1, management said it intends to stay conservative given volatility; watch for any incremental capital-return or further deleveraging commentary, especially with a newly appointed independent director (Eduardo De Salles Bartolomeo) joining the board in late July.</w:t>
      </w:r>
    </w:p>
    <w:p>
      <w:pPr>
        <w:pStyle w:val="Compact"/>
        <w:numPr>
          <w:ilvl w:val="0"/>
          <w:numId w:val="1002"/>
        </w:numPr>
      </w:pPr>
      <w:r>
        <w:rPr>
          <w:b/>
          <w:bCs/>
        </w:rPr>
        <w:t xml:space="preserve">Middle East/geopolitical cost impact:</w:t>
      </w:r>
      <w:r>
        <w:t xml:space="preserve"> </w:t>
      </w:r>
      <w:r>
        <w:t xml:space="preserve">The $70–90 million unmitigated cost estimate from Middle East-related supply chain disruption was a key offset item in the Q1 outlook (financed by lower interest expense and stronger Specialties pricing); an update on whether this cost estimate has grown, shrunk, or been fully offset is important for margin trajectory.</w:t>
      </w:r>
    </w:p>
    <w:bookmarkEnd w:id="14"/>
    <w:bookmarkStart w:id="15" w:name="Xd4bf6205a9bfa183b58f00ca467c208cbf0bac7"/>
    <w:p>
      <w:pPr>
        <w:pStyle w:val="Heading2"/>
      </w:pPr>
      <w:r>
        <w:t xml:space="preserve">6. Bottom line for investors</w:t>
      </w:r>
    </w:p>
    <w:p>
      <w:pPr>
        <w:pStyle w:val="FirstParagraph"/>
      </w:pPr>
      <w:r>
        <w:t xml:space="preserve">Albemarle heads into Q2 earnings with a genuine disconnect: the underlying Q1 print showed the company firing on most cylinders (volume growth, cost discipline, balance sheet repair, raised Specialties guidance), yet the stock has been cut nearly in half since mid-May purely on the reversal of the lithium supply squeeze that drove pricing (and ALB shares) higher in the first place. SQM's near-identical decline confirms this is a commodity/sector re-rating rather than an ALB-specific issue.</w:t>
      </w:r>
    </w:p>
    <w:p>
      <w:pPr>
        <w:pStyle w:val="BodyText"/>
      </w:pPr>
      <w:r>
        <w:t xml:space="preserve">The print itself will matter less for the immediate stock reaction than **management's tone on where lithium pricing has actually settled post-Jianxiawo-restart, whether the</w:t>
      </w:r>
      <w:r>
        <w:t xml:space="preserve"> </w:t>
      </w:r>
      <m:oMath>
        <m:r>
          <m:t>20</m:t>
        </m:r>
        <m:r>
          <m:rPr>
            <m:sty m:val="p"/>
          </m:rPr>
          <m:t>/</m:t>
        </m:r>
        <m:r>
          <m:t>k</m:t>
        </m:r>
        <m:r>
          <m:t>g</m:t>
        </m:r>
        <m:r>
          <m:t>s</m:t>
        </m:r>
        <m:r>
          <m:t>c</m:t>
        </m:r>
        <m:r>
          <m:t>e</m:t>
        </m:r>
        <m:r>
          <m:t>n</m:t>
        </m:r>
        <m:r>
          <m:t>a</m:t>
        </m:r>
        <m:r>
          <m:t>r</m:t>
        </m:r>
        <m:r>
          <m:t>i</m:t>
        </m:r>
        <m:r>
          <m:t>o</m:t>
        </m:r>
        <m:r>
          <m:t>f</m:t>
        </m:r>
        <m:r>
          <m:t>r</m:t>
        </m:r>
        <m:r>
          <m:t>a</m:t>
        </m:r>
        <m:r>
          <m:t>m</m:t>
        </m:r>
        <m:r>
          <m:t>e</m:t>
        </m:r>
        <m:r>
          <m:t>w</m:t>
        </m:r>
        <m:r>
          <m:t>o</m:t>
        </m:r>
        <m:r>
          <m:t>r</m:t>
        </m:r>
        <m:r>
          <m:t>k</m:t>
        </m:r>
        <m:r>
          <m:t>s</m:t>
        </m:r>
        <m:r>
          <m:t>t</m:t>
        </m:r>
        <m:r>
          <m:t>i</m:t>
        </m:r>
        <m:r>
          <m:t>l</m:t>
        </m:r>
        <m:r>
          <m:t>l</m:t>
        </m:r>
        <m:r>
          <m:t>h</m:t>
        </m:r>
        <m:r>
          <m:t>o</m:t>
        </m:r>
        <m:r>
          <m:t>l</m:t>
        </m:r>
        <m:r>
          <m:t>d</m:t>
        </m:r>
        <m:r>
          <m:t>s</m:t>
        </m:r>
        <m:r>
          <m:rPr>
            <m:sty m:val="p"/>
          </m:rPr>
          <m:t>,</m:t>
        </m:r>
        <m:r>
          <m:t>a</m:t>
        </m:r>
        <m:r>
          <m:t>n</m:t>
        </m:r>
        <m:r>
          <m:t>d</m:t>
        </m:r>
        <m:r>
          <m:t>w</m:t>
        </m:r>
        <m:r>
          <m:t>h</m:t>
        </m:r>
        <m:r>
          <m:t>e</m:t>
        </m:r>
        <m:r>
          <m:t>t</m:t>
        </m:r>
        <m:r>
          <m:t>h</m:t>
        </m:r>
        <m:r>
          <m:t>e</m:t>
        </m:r>
        <m:r>
          <m:t>r</m:t>
        </m:r>
        <m:r>
          <m:t>c</m:t>
        </m:r>
        <m:r>
          <m:t>o</m:t>
        </m:r>
        <m:r>
          <m:t>s</m:t>
        </m:r>
        <m:r>
          <m:t>t</m:t>
        </m:r>
        <m:r>
          <m:rPr>
            <m:sty m:val="p"/>
          </m:rPr>
          <m:t>/</m:t>
        </m:r>
        <m:r>
          <m:t>p</m:t>
        </m:r>
        <m:r>
          <m:t>r</m:t>
        </m:r>
        <m:r>
          <m:t>o</m:t>
        </m:r>
        <m:r>
          <m:t>d</m:t>
        </m:r>
        <m:r>
          <m:t>u</m:t>
        </m:r>
        <m:r>
          <m:t>c</m:t>
        </m:r>
        <m:r>
          <m:t>t</m:t>
        </m:r>
        <m:r>
          <m:t>i</m:t>
        </m:r>
        <m:r>
          <m:t>v</m:t>
        </m:r>
        <m:r>
          <m:t>i</m:t>
        </m:r>
        <m:r>
          <m:t>t</m:t>
        </m:r>
        <m:r>
          <m:t>y</m:t>
        </m:r>
        <m:r>
          <m:t>o</m:t>
        </m:r>
        <m:r>
          <m:t>f</m:t>
        </m:r>
        <m:r>
          <m:t>f</m:t>
        </m:r>
        <m:r>
          <m:t>s</m:t>
        </m:r>
        <m:r>
          <m:t>e</m:t>
        </m:r>
        <m:r>
          <m:t>t</m:t>
        </m:r>
        <m:r>
          <m:t>s</m:t>
        </m:r>
        <m:r>
          <m:t>a</m:t>
        </m:r>
        <m:r>
          <m:t>r</m:t>
        </m:r>
        <m:r>
          <m:t>e</m:t>
        </m:r>
        <m:r>
          <m:t>k</m:t>
        </m:r>
        <m:r>
          <m:t>e</m:t>
        </m:r>
        <m:r>
          <m:t>e</m:t>
        </m:r>
        <m:r>
          <m:t>p</m:t>
        </m:r>
        <m:r>
          <m:t>i</m:t>
        </m:r>
        <m:r>
          <m:t>n</m:t>
        </m:r>
        <m:r>
          <m:t>g</m:t>
        </m:r>
        <m:r>
          <m:t>p</m:t>
        </m:r>
        <m:r>
          <m:t>a</m:t>
        </m:r>
        <m:r>
          <m:t>c</m:t>
        </m:r>
        <m:r>
          <m:t>e</m:t>
        </m:r>
        <m:r>
          <m:t>w</m:t>
        </m:r>
        <m:r>
          <m:t>i</m:t>
        </m:r>
        <m:r>
          <m:t>t</m:t>
        </m:r>
        <m:r>
          <m:t>h</m:t>
        </m:r>
        <m:r>
          <m:t>b</m:t>
        </m:r>
        <m:r>
          <m:t>o</m:t>
        </m:r>
        <m:r>
          <m:t>t</m:t>
        </m:r>
        <m:r>
          <m:t>h</m:t>
        </m:r>
        <m:r>
          <m:t>M</m:t>
        </m:r>
        <m:r>
          <m:t>i</m:t>
        </m:r>
        <m:r>
          <m:t>d</m:t>
        </m:r>
        <m:r>
          <m:t>d</m:t>
        </m:r>
        <m:r>
          <m:t>l</m:t>
        </m:r>
        <m:r>
          <m:t>e</m:t>
        </m:r>
        <m:r>
          <m:t>E</m:t>
        </m:r>
        <m:r>
          <m:t>a</m:t>
        </m:r>
        <m:r>
          <m:t>s</m:t>
        </m:r>
        <m:r>
          <m:t>t</m:t>
        </m:r>
        <m:r>
          <m:t>d</m:t>
        </m:r>
        <m:r>
          <m:t>i</m:t>
        </m:r>
        <m:r>
          <m:t>s</m:t>
        </m:r>
        <m:r>
          <m:t>r</m:t>
        </m:r>
        <m:r>
          <m:t>u</m:t>
        </m:r>
        <m:r>
          <m:t>p</m:t>
        </m:r>
        <m:r>
          <m:t>t</m:t>
        </m:r>
        <m:r>
          <m:t>i</m:t>
        </m:r>
        <m:r>
          <m:t>o</m:t>
        </m:r>
        <m:r>
          <m:t>n</m:t>
        </m:r>
        <m:r>
          <m:t>c</m:t>
        </m:r>
        <m:r>
          <m:t>o</m:t>
        </m:r>
        <m:r>
          <m:t>s</m:t>
        </m:r>
        <m:r>
          <m:t>t</m:t>
        </m:r>
        <m:r>
          <m:t>s</m:t>
        </m:r>
        <m:r>
          <m:t>a</m:t>
        </m:r>
        <m:r>
          <m:t>n</m:t>
        </m:r>
        <m:r>
          <m:t>d</m:t>
        </m:r>
        <m:r>
          <m:t>a</m:t>
        </m:r>
        <m:r>
          <m:t>r</m:t>
        </m:r>
        <m:r>
          <m:t>e</m:t>
        </m:r>
        <m:r>
          <m:t>n</m:t>
        </m:r>
        <m:r>
          <m:t>e</m:t>
        </m:r>
        <m:r>
          <m:t>w</m:t>
        </m:r>
        <m:r>
          <m:t>e</m:t>
        </m:r>
        <m:r>
          <m:t>d</m:t>
        </m:r>
        <m:r>
          <m:t>p</m:t>
        </m:r>
        <m:r>
          <m:t>r</m:t>
        </m:r>
        <m:r>
          <m:t>i</m:t>
        </m:r>
        <m:r>
          <m:t>c</m:t>
        </m:r>
        <m:r>
          <m:t>i</m:t>
        </m:r>
        <m:r>
          <m:t>n</m:t>
        </m:r>
        <m:r>
          <m:t>g</m:t>
        </m:r>
        <m:r>
          <m:t>h</m:t>
        </m:r>
        <m:r>
          <m:t>e</m:t>
        </m:r>
        <m:r>
          <m:t>a</m:t>
        </m:r>
        <m:r>
          <m:t>d</m:t>
        </m:r>
        <m:r>
          <m:t>w</m:t>
        </m:r>
        <m:r>
          <m:t>i</m:t>
        </m:r>
        <m:r>
          <m:t>n</m:t>
        </m:r>
        <m:r>
          <m:t>d</m:t>
        </m:r>
        <m:r>
          <m:rPr>
            <m:sty m:val="p"/>
          </m:rPr>
          <m:t>*</m:t>
        </m:r>
        <m:r>
          <m:rPr>
            <m:sty m:val="p"/>
          </m:rPr>
          <m:t>*</m:t>
        </m:r>
        <m:r>
          <m:rPr>
            <m:sty m:val="p"/>
          </m:rPr>
          <m:t>.</m:t>
        </m:r>
        <m:r>
          <m:t>G</m:t>
        </m:r>
        <m:r>
          <m:t>i</m:t>
        </m:r>
        <m:r>
          <m:t>v</m:t>
        </m:r>
        <m:r>
          <m:t>e</m:t>
        </m:r>
        <m:r>
          <m:t>n</m:t>
        </m:r>
        <m:r>
          <m:t>t</m:t>
        </m:r>
        <m:r>
          <m:t>h</m:t>
        </m:r>
        <m:r>
          <m:t>e</m:t>
        </m:r>
        <m:r>
          <m:t>w</m:t>
        </m:r>
        <m:r>
          <m:t>i</m:t>
        </m:r>
        <m:r>
          <m:t>d</m:t>
        </m:r>
        <m:r>
          <m:t>e</m:t>
        </m:r>
        <m:r>
          <m:t>g</m:t>
        </m:r>
        <m:r>
          <m:t>a</m:t>
        </m:r>
        <m:r>
          <m:t>p</m:t>
        </m:r>
        <m:r>
          <m:t>b</m:t>
        </m:r>
        <m:r>
          <m:t>e</m:t>
        </m:r>
        <m:r>
          <m:t>t</m:t>
        </m:r>
        <m:r>
          <m:t>w</m:t>
        </m:r>
        <m:r>
          <m:t>e</m:t>
        </m:r>
        <m:r>
          <m:t>e</m:t>
        </m:r>
        <m:r>
          <m:t>n</m:t>
        </m:r>
        <m:r>
          <m:t>t</m:t>
        </m:r>
        <m:r>
          <m:t>h</m:t>
        </m:r>
        <m:r>
          <m:t>e</m:t>
        </m:r>
        <m:r>
          <m:t>c</m:t>
        </m:r>
        <m:r>
          <m:t>u</m:t>
        </m:r>
        <m:r>
          <m:t>r</m:t>
        </m:r>
        <m:r>
          <m:t>r</m:t>
        </m:r>
        <m:r>
          <m:t>e</m:t>
        </m:r>
        <m:r>
          <m:t>n</m:t>
        </m:r>
        <m:r>
          <m:t>t</m:t>
        </m:r>
        <m:r>
          <m:t>s</m:t>
        </m:r>
        <m:r>
          <m:t>h</m:t>
        </m:r>
        <m:r>
          <m:t>a</m:t>
        </m:r>
        <m:r>
          <m:t>r</m:t>
        </m:r>
        <m:r>
          <m:t>e</m:t>
        </m:r>
        <m:r>
          <m:t>p</m:t>
        </m:r>
        <m:r>
          <m:t>r</m:t>
        </m:r>
        <m:r>
          <m:t>i</m:t>
        </m:r>
        <m:r>
          <m:t>c</m:t>
        </m:r>
        <m:r>
          <m:t>e</m:t>
        </m:r>
        <m:r>
          <m:rPr>
            <m:sty m:val="p"/>
          </m:rPr>
          <m:t>(</m:t>
        </m:r>
        <m:r>
          <m:t> </m:t>
        </m:r>
      </m:oMath>
      <w:r>
        <w:t xml:space="preserve">120) and average Street price targets (~$195–220), this print and call commentary could be the catalyst that either triggers a wave of target cuts to catch down to the new pricing reality, or — if management can convincingly argue the sell-off has overshot the actual earnings impact — the start of a relief rally.</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2026-08-05T01:29:27Z</dcterms:created>
  <dcterms:modified xsi:type="dcterms:W3CDTF">2026-08-05T01:29:27Z</dcterms:modified>
</cp:coreProperties>
</file>

<file path=docProps/custom.xml><?xml version="1.0" encoding="utf-8"?>
<Properties xmlns="http://schemas.openxmlformats.org/officeDocument/2006/custom-properties" xmlns:vt="http://schemas.openxmlformats.org/officeDocument/2006/docPropsVTypes"/>
</file>