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albemarle-alb-q2-2026-earnings-preview"/>
    <w:p>
      <w:pPr>
        <w:pStyle w:val="Heading1"/>
      </w:pPr>
      <w:r>
        <w:t xml:space="preserve">Albemarle (ALB) Q2 2026 Earnings Preview</w:t>
      </w:r>
    </w:p>
    <w:p>
      <w:pPr>
        <w:pStyle w:val="BlockText"/>
      </w:pPr>
      <w:r>
        <w:rPr>
          <w:b/>
          <w:bCs/>
        </w:rPr>
        <w:t xml:space="preserve">Timing clarification:</w:t>
      </w:r>
      <w:r>
        <w:t xml:space="preserve"> </w:t>
      </w:r>
      <w:r>
        <w:t xml:space="preserve">Albemarle is scheduled to release Q2 results</w:t>
      </w:r>
      <w:r>
        <w:t xml:space="preserve"> </w:t>
      </w:r>
      <w:r>
        <w:rPr>
          <w:b/>
          <w:bCs/>
        </w:rPr>
        <w:t xml:space="preserve">today, Wednesday, August 5, 2026, after the NYSE close</w:t>
      </w:r>
      <w:r>
        <w:t xml:space="preserve">. The earnings call is</w:t>
      </w:r>
      <w:r>
        <w:t xml:space="preserve"> </w:t>
      </w:r>
      <w:r>
        <w:rPr>
          <w:b/>
          <w:bCs/>
        </w:rPr>
        <w:t xml:space="preserve">tomorrow, Thursday, August 6, at 8:00 a.m. EDT</w:t>
      </w:r>
      <w:r>
        <w:t xml:space="preserve">. (</w:t>
      </w:r>
      <w:hyperlink r:id="rId9">
        <w:r>
          <w:rPr>
            <w:rStyle w:val="Hyperlink"/>
          </w:rPr>
          <w:t xml:space="preserve">albemarle.com</w:t>
        </w:r>
      </w:hyperlink>
      <w:r>
        <w:t xml:space="preserve">)</w:t>
      </w:r>
    </w:p>
    <w:bookmarkStart w:id="10" w:name="executive-view"/>
    <w:p>
      <w:pPr>
        <w:pStyle w:val="Heading2"/>
      </w:pPr>
      <w:r>
        <w:t xml:space="preserve">Executive view</w:t>
      </w:r>
    </w:p>
    <w:p>
      <w:pPr>
        <w:pStyle w:val="FirstParagraph"/>
      </w:pPr>
      <w:r>
        <w:t xml:space="preserve">The central question is not whether Q2 improved year over year—it almost certainly did—but</w:t>
      </w:r>
      <w:r>
        <w:t xml:space="preserve"> </w:t>
      </w:r>
      <w:r>
        <w:rPr>
          <w:b/>
          <w:bCs/>
        </w:rPr>
        <w:t xml:space="preserve">how durable the recovery is after lithium prices rebounded sharply in early 2026</w:t>
      </w:r>
      <w:r>
        <w:t xml:space="preserve">.</w:t>
      </w:r>
    </w:p>
    <w:p>
      <w:pPr>
        <w:pStyle w:val="BodyText"/>
      </w:pPr>
      <w:r>
        <w:t xml:space="preserve">Three issues should determine the stock reaction: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Energy Storage realization and margin:</w:t>
      </w:r>
      <w:r>
        <w:t xml:space="preserve"> </w:t>
      </w:r>
      <w:r>
        <w:t xml:space="preserve">Higher Q2 lithium prices and contract lags should lift revenue, but Q1 benefited from unusually favorable spodumene inventory timing.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Full-year guidance:</w:t>
      </w:r>
      <w:r>
        <w:t xml:space="preserve"> </w:t>
      </w:r>
      <w:r>
        <w:t xml:space="preserve">Investors will want confirmation that results are tracking at least near Albemarle’s</w:t>
      </w:r>
      <w:r>
        <w:t xml:space="preserve"> </w:t>
      </w:r>
      <w:r>
        <w:rPr>
          <w:b/>
          <w:bCs/>
        </w:rPr>
        <w:t xml:space="preserve">approximately $20/kg lithium-price scenario</w:t>
      </w:r>
      <w:r>
        <w:t xml:space="preserve">, if not above it.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Cash conversion:</w:t>
      </w:r>
      <w:r>
        <w:t xml:space="preserve"> </w:t>
      </w:r>
      <w:r>
        <w:t xml:space="preserve">With the balance sheet repaired, the next proof point is converting higher lithium earnings into sustainable free cash flow rather than inventory and receivables.</w:t>
      </w:r>
    </w:p>
    <w:p>
      <w:pPr>
        <w:pStyle w:val="FirstParagraph"/>
      </w:pPr>
      <w:r>
        <w:t xml:space="preserve">The setup is less demanding than it was in May: ALB closed at</w:t>
      </w:r>
      <w:r>
        <w:t xml:space="preserve"> </w:t>
      </w:r>
      <w:r>
        <w:rPr>
          <w:b/>
          <w:bCs/>
        </w:rPr>
        <w:t xml:space="preserve">$120.85 on August 4</w:t>
      </w:r>
      <w:r>
        <w:t xml:space="preserve">, down roughly</w:t>
      </w:r>
      <w:r>
        <w:t xml:space="preserve"> </w:t>
      </w:r>
      <w:r>
        <w:rPr>
          <w:b/>
          <w:bCs/>
        </w:rPr>
        <w:t xml:space="preserve">37% since its Q1 report</w:t>
      </w:r>
      <w:r>
        <w:t xml:space="preserve"> </w:t>
      </w:r>
      <w:r>
        <w:t xml:space="preserve">and approximately</w:t>
      </w:r>
      <w:r>
        <w:t xml:space="preserve"> </w:t>
      </w:r>
      <w:r>
        <w:rPr>
          <w:b/>
          <w:bCs/>
        </w:rPr>
        <w:t xml:space="preserve">44% from its April high</w:t>
      </w:r>
      <w:r>
        <w:t xml:space="preserve">. However, that decline also indicates skepticism about lithium-price sustainability. A routine earnings beat may not be enough without constructive guidance.</w:t>
      </w:r>
    </w:p>
    <w:p>
      <w:r>
        <w:pict>
          <v:rect style="width:0;height:1.5pt" o:hralign="center" o:hrstd="t" o:hr="t"/>
        </w:pict>
      </w:r>
    </w:p>
    <w:bookmarkEnd w:id="10"/>
    <w:bookmarkStart w:id="13" w:name="expectations-and-relevant-comparisons"/>
    <w:p>
      <w:pPr>
        <w:pStyle w:val="Heading2"/>
      </w:pPr>
      <w:r>
        <w:t xml:space="preserve">Expectations and relevant comparisons</w:t>
      </w:r>
    </w:p>
    <w:p>
      <w:pPr>
        <w:pStyle w:val="FirstParagraph"/>
      </w:pPr>
      <w:r>
        <w:t xml:space="preserve">Public consensus sources indicate approximately: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2026 expectation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1.53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1.57B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3.10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3.20</w:t>
            </w:r>
          </w:p>
        </w:tc>
      </w:tr>
      <w:tr>
        <w:tc>
          <w:tcPr/>
          <w:p>
            <w:pPr>
              <w:pStyle w:val="Compact"/>
            </w:pPr>
            <w:r>
              <w:t xml:space="preserve">Q2 2025 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$1.33B</w:t>
            </w:r>
          </w:p>
        </w:tc>
      </w:tr>
      <w:tr>
        <w:tc>
          <w:tcPr/>
          <w:p>
            <w:pPr>
              <w:pStyle w:val="Compact"/>
            </w:pPr>
            <w:r>
              <w:t xml:space="preserve">Q2 2025 adjusted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$0.11</w:t>
            </w:r>
          </w:p>
        </w:tc>
      </w:tr>
    </w:tbl>
    <w:p>
      <w:pPr>
        <w:pStyle w:val="BodyText"/>
      </w:pPr>
      <w:r>
        <w:t xml:space="preserve">Consensus varies modestly by provider. (</w:t>
      </w:r>
      <w:hyperlink r:id="rId11">
        <w:r>
          <w:rPr>
            <w:rStyle w:val="Hyperlink"/>
          </w:rPr>
          <w:t xml:space="preserve">benzinga.com</w:t>
        </w:r>
      </w:hyperlink>
      <w:r>
        <w:t xml:space="preserve">)</w:t>
      </w:r>
    </w:p>
    <w:p>
      <w:pPr>
        <w:pStyle w:val="BodyText"/>
      </w:pPr>
      <w:r>
        <w:t xml:space="preserve">The headline revenue comparison understates the expected improvement in the continuing businesses. Q2 2025 included approximately</w:t>
      </w:r>
      <w:r>
        <w:t xml:space="preserve"> </w:t>
      </w:r>
      <w:r>
        <w:rPr>
          <w:b/>
          <w:bCs/>
        </w:rPr>
        <w:t xml:space="preserve">$261 million of Ketjen revenue</w:t>
      </w:r>
      <w:r>
        <w:t xml:space="preserve">, while Albemarle sold its controlling interest in that business in March 2026. Excluding Ketjen from the prior-year base, consensus implies roughly</w:t>
      </w:r>
      <w:r>
        <w:t xml:space="preserve"> </w:t>
      </w:r>
      <w:r>
        <w:rPr>
          <w:b/>
          <w:bCs/>
        </w:rPr>
        <w:t xml:space="preserve">40%–45% underlying revenue growth</w:t>
      </w:r>
      <w:r>
        <w:t xml:space="preserve">.</w:t>
      </w:r>
    </w:p>
    <w:p>
      <w:pPr>
        <w:pStyle w:val="BodyText"/>
      </w:pPr>
      <w:r>
        <w:t xml:space="preserve">Q1 established a strong starting point:</w:t>
      </w:r>
    </w:p>
    <w:p>
      <w:pPr>
        <w:pStyle w:val="Compact"/>
        <w:numPr>
          <w:ilvl w:val="0"/>
          <w:numId w:val="1002"/>
        </w:numPr>
      </w:pPr>
      <w:r>
        <w:t xml:space="preserve">Revenue:</w:t>
      </w:r>
      <w:r>
        <w:t xml:space="preserve"> </w:t>
      </w:r>
      <w:r>
        <w:rPr>
          <w:b/>
          <w:bCs/>
        </w:rPr>
        <w:t xml:space="preserve">$1.43 billion</w:t>
      </w:r>
    </w:p>
    <w:p>
      <w:pPr>
        <w:pStyle w:val="Compact"/>
        <w:numPr>
          <w:ilvl w:val="0"/>
          <w:numId w:val="1002"/>
        </w:numPr>
      </w:pPr>
      <w:r>
        <w:t xml:space="preserve">Adjusted EBITDA:</w:t>
      </w:r>
      <w:r>
        <w:t xml:space="preserve"> </w:t>
      </w:r>
      <w:r>
        <w:rPr>
          <w:b/>
          <w:bCs/>
        </w:rPr>
        <w:t xml:space="preserve">$664 million</w:t>
      </w:r>
    </w:p>
    <w:p>
      <w:pPr>
        <w:pStyle w:val="Compact"/>
        <w:numPr>
          <w:ilvl w:val="0"/>
          <w:numId w:val="1002"/>
        </w:numPr>
      </w:pPr>
      <w:r>
        <w:t xml:space="preserve">Adjusted EPS:</w:t>
      </w:r>
      <w:r>
        <w:t xml:space="preserve"> </w:t>
      </w:r>
      <w:r>
        <w:rPr>
          <w:b/>
          <w:bCs/>
        </w:rPr>
        <w:t xml:space="preserve">$2.95</w:t>
      </w:r>
    </w:p>
    <w:p>
      <w:pPr>
        <w:pStyle w:val="Compact"/>
        <w:numPr>
          <w:ilvl w:val="0"/>
          <w:numId w:val="1002"/>
        </w:numPr>
      </w:pPr>
      <w:r>
        <w:t xml:space="preserve">Energy Storage revenue:</w:t>
      </w:r>
      <w:r>
        <w:t xml:space="preserve"> </w:t>
      </w:r>
      <w:r>
        <w:rPr>
          <w:b/>
          <w:bCs/>
        </w:rPr>
        <w:t xml:space="preserve">$891 million</w:t>
      </w:r>
    </w:p>
    <w:p>
      <w:pPr>
        <w:pStyle w:val="Compact"/>
        <w:numPr>
          <w:ilvl w:val="0"/>
          <w:numId w:val="1002"/>
        </w:numPr>
      </w:pPr>
      <w:r>
        <w:t xml:space="preserve">Energy Storage adjusted EBITDA:</w:t>
      </w:r>
      <w:r>
        <w:t xml:space="preserve"> </w:t>
      </w:r>
      <w:r>
        <w:rPr>
          <w:b/>
          <w:bCs/>
        </w:rPr>
        <w:t xml:space="preserve">$551 million</w:t>
      </w:r>
    </w:p>
    <w:p>
      <w:pPr>
        <w:pStyle w:val="Compact"/>
        <w:numPr>
          <w:ilvl w:val="0"/>
          <w:numId w:val="1002"/>
        </w:numPr>
      </w:pPr>
      <w:r>
        <w:t xml:space="preserve">Free cash flow:</w:t>
      </w:r>
      <w:r>
        <w:t xml:space="preserve"> </w:t>
      </w:r>
      <w:r>
        <w:rPr>
          <w:b/>
          <w:bCs/>
        </w:rPr>
        <w:t xml:space="preserve">$248 million</w:t>
      </w:r>
    </w:p>
    <w:p>
      <w:pPr>
        <w:pStyle w:val="FirstParagraph"/>
      </w:pPr>
      <w:r>
        <w:t xml:space="preserve">Energy Storage pricing rose 51% year over year and volume increased 14%; companywide adjusted EBITDA rose 148%. (</w:t>
      </w:r>
      <w:hyperlink r:id="rId12">
        <w:r>
          <w:rPr>
            <w:rStyle w:val="Hyperlink"/>
          </w:rPr>
          <w:t xml:space="preserve">albemarle.com</w:t>
        </w:r>
      </w:hyperlink>
      <w:r>
        <w:t xml:space="preserve">)</w:t>
      </w:r>
    </w:p>
    <w:p>
      <w:r>
        <w:pict>
          <v:rect style="width:0;height:1.5pt" o:hralign="center" o:hrstd="t" o:hr="t"/>
        </w:pict>
      </w:r>
    </w:p>
    <w:bookmarkEnd w:id="13"/>
    <w:bookmarkStart w:id="17" w:name="X16ef520f9ab69cc51e1a20e5f17153b1c959d56"/>
    <w:p>
      <w:pPr>
        <w:pStyle w:val="Heading2"/>
      </w:pPr>
      <w:r>
        <w:t xml:space="preserve">1. Lithium realization is the main earnings driver</w:t>
      </w:r>
    </w:p>
    <w:p>
      <w:pPr>
        <w:pStyle w:val="FirstParagraph"/>
      </w:pPr>
      <w:r>
        <w:t xml:space="preserve">Albemarle reported a Q1 Energy Storage realized price of approximately</w:t>
      </w:r>
      <w:r>
        <w:t xml:space="preserve"> </w:t>
      </w:r>
      <w:r>
        <w:rPr>
          <w:b/>
          <w:bCs/>
        </w:rPr>
        <w:t xml:space="preserve">$17/kg LCE</w:t>
      </w:r>
      <w:r>
        <w:t xml:space="preserve">, versus an average market price near $20/kg. The difference reflected:</w:t>
      </w:r>
    </w:p>
    <w:p>
      <w:pPr>
        <w:pStyle w:val="Compact"/>
        <w:numPr>
          <w:ilvl w:val="0"/>
          <w:numId w:val="1003"/>
        </w:numPr>
      </w:pPr>
      <w:r>
        <w:t xml:space="preserve">A roughly one-quarter lag on parts of the contract book.</w:t>
      </w:r>
    </w:p>
    <w:p>
      <w:pPr>
        <w:pStyle w:val="Compact"/>
        <w:numPr>
          <w:ilvl w:val="0"/>
          <w:numId w:val="1003"/>
        </w:numPr>
      </w:pPr>
      <w:r>
        <w:t xml:space="preserve">Spodumene sales, which lower the reported realized price per LCE.</w:t>
      </w:r>
    </w:p>
    <w:p>
      <w:pPr>
        <w:pStyle w:val="Compact"/>
        <w:numPr>
          <w:ilvl w:val="0"/>
          <w:numId w:val="1003"/>
        </w:numPr>
      </w:pPr>
      <w:r>
        <w:t xml:space="preserve">Product and regional mix.</w:t>
      </w:r>
    </w:p>
    <w:p>
      <w:pPr>
        <w:pStyle w:val="FirstParagraph"/>
      </w:pPr>
      <w:r>
        <w:t xml:space="preserve">Approximately</w:t>
      </w:r>
      <w:r>
        <w:t xml:space="preserve"> </w:t>
      </w:r>
      <w:r>
        <w:rPr>
          <w:b/>
          <w:bCs/>
        </w:rPr>
        <w:t xml:space="preserve">40% of salts volume</w:t>
      </w:r>
      <w:r>
        <w:t xml:space="preserve"> </w:t>
      </w:r>
      <w:r>
        <w:t xml:space="preserve">is covered by longer-term agreements, making the timing of index pass-through important.</w:t>
      </w:r>
    </w:p>
    <w:p>
      <w:pPr>
        <w:pStyle w:val="BodyText"/>
      </w:pPr>
      <w:r>
        <w:t xml:space="preserve">The external pricing environment was favorable during Q2. Fastmarkets’ battery-grade lithium carbonate index averaged approximately</w:t>
      </w:r>
      <w:r>
        <w:t xml:space="preserve"> </w:t>
      </w:r>
      <w:r>
        <w:rPr>
          <w:b/>
          <w:bCs/>
        </w:rPr>
        <w:t xml:space="preserve">$22,043 per tonne</w:t>
      </w:r>
      <w:r>
        <w:t xml:space="preserve">, up 13% from Q1’s $19,427, although the index declined from $21,000 at the start of Q2 to $19,400 at quarter-end. (</w:t>
      </w:r>
      <w:hyperlink r:id="rId14">
        <w:r>
          <w:rPr>
            <w:rStyle w:val="Hyperlink"/>
          </w:rPr>
          <w:t xml:space="preserve">investegate.co.uk</w:t>
        </w:r>
      </w:hyperlink>
      <w:r>
        <w:t xml:space="preserve">)</w:t>
      </w:r>
    </w:p>
    <w:bookmarkStart w:id="15" w:name="what-to-watch"/>
    <w:p>
      <w:pPr>
        <w:pStyle w:val="Heading3"/>
      </w:pPr>
      <w:r>
        <w:t xml:space="preserve">What to watch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Q2 average realized price:</w:t>
      </w:r>
      <w:r>
        <w:t xml:space="preserve"> </w:t>
      </w:r>
      <w:r>
        <w:t xml:space="preserve">A material increase from Q1’s $17/kg is expected.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Price-to-index gap:</w:t>
      </w:r>
      <w:r>
        <w:t xml:space="preserve"> </w:t>
      </w:r>
      <w:r>
        <w:t xml:space="preserve">Investors should determine whether the gap is normal contract lag or unfavorable product mix.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July/August commentary:</w:t>
      </w:r>
      <w:r>
        <w:t xml:space="preserve"> </w:t>
      </w:r>
      <w:r>
        <w:t xml:space="preserve">The forward outlook matters more than the backward-looking Q2 average.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Contract renewals:</w:t>
      </w:r>
      <w:r>
        <w:t xml:space="preserve"> </w:t>
      </w:r>
      <w:r>
        <w:t xml:space="preserve">Two significant contracts expire at year-end. Management had no update in May, but improved terms or a more favorable spot/contract mix could materially affect 2027.</w:t>
      </w:r>
    </w:p>
    <w:bookmarkEnd w:id="15"/>
    <w:bookmarkStart w:id="16" w:name="interpretation"/>
    <w:p>
      <w:pPr>
        <w:pStyle w:val="Heading3"/>
      </w:pPr>
      <w:r>
        <w:t xml:space="preserve">Interpretation</w:t>
      </w:r>
    </w:p>
    <w:p>
      <w:pPr>
        <w:pStyle w:val="FirstParagraph"/>
      </w:pPr>
      <w:r>
        <w:t xml:space="preserve">A realized price near or above</w:t>
      </w:r>
      <w:r>
        <w:t xml:space="preserve"> </w:t>
      </w:r>
      <w:r>
        <w:rPr>
          <w:b/>
          <w:bCs/>
        </w:rPr>
        <w:t xml:space="preserve">$20/kg</w:t>
      </w:r>
      <w:r>
        <w:t xml:space="preserve">, accompanied by constructive Q3 commentary, would support the bull case. A realization meaningfully below that despite the Q2 index increase would raise questions about mix, contract structure or execution.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X2a67b21fc76fc997c912c4be0cc4a9674b181f8"/>
    <w:p>
      <w:pPr>
        <w:pStyle w:val="Heading2"/>
      </w:pPr>
      <w:r>
        <w:t xml:space="preserve">2. Expect higher Energy Storage sales—but a lower margin than Q1</w:t>
      </w:r>
    </w:p>
    <w:p>
      <w:pPr>
        <w:pStyle w:val="FirstParagraph"/>
      </w:pPr>
      <w:r>
        <w:t xml:space="preserve">Management said on the Q1 call that Q2 Energy Storage revenue and EBITDA should increase sequentially, assuming flat market prices, because of:</w:t>
      </w:r>
    </w:p>
    <w:p>
      <w:pPr>
        <w:pStyle w:val="Compact"/>
        <w:numPr>
          <w:ilvl w:val="0"/>
          <w:numId w:val="1005"/>
        </w:numPr>
      </w:pPr>
      <w:r>
        <w:t xml:space="preserve">Higher sales volume.</w:t>
      </w:r>
    </w:p>
    <w:p>
      <w:pPr>
        <w:pStyle w:val="Compact"/>
        <w:numPr>
          <w:ilvl w:val="0"/>
          <w:numId w:val="1005"/>
        </w:numPr>
      </w:pPr>
      <w:r>
        <w:t xml:space="preserve">Contract-pricing lags catching up.</w:t>
      </w:r>
    </w:p>
    <w:p>
      <w:pPr>
        <w:pStyle w:val="Compact"/>
        <w:numPr>
          <w:ilvl w:val="0"/>
          <w:numId w:val="1005"/>
        </w:numPr>
      </w:pPr>
      <w:r>
        <w:t xml:space="preserve">Continued asset ramps.</w:t>
      </w:r>
    </w:p>
    <w:p>
      <w:pPr>
        <w:pStyle w:val="FirstParagraph"/>
      </w:pPr>
      <w:r>
        <w:t xml:space="preserve">However, it also guided to a</w:t>
      </w:r>
      <w:r>
        <w:t xml:space="preserve"> </w:t>
      </w:r>
      <w:r>
        <w:rPr>
          <w:b/>
          <w:bCs/>
        </w:rPr>
        <w:t xml:space="preserve">lower sequential Energy Storage EBITDA margin</w:t>
      </w:r>
      <w:r>
        <w:t xml:space="preserve">. Q1’s margin was unusually high at approximately 62%, helped by the consumption of spodumene inventory acquired when input prices were lower. That benefit should normalize as newer, more expensive inventory passes through cost of goods sold.</w:t>
      </w:r>
    </w:p>
    <w:p>
      <w:pPr>
        <w:pStyle w:val="BodyText"/>
      </w:pPr>
      <w:r>
        <w:t xml:space="preserve">Additional pressure comes from Middle East-related supply-chain disruption. Albemarle estimated an unmitigated full-year cost impact of approximately</w:t>
      </w:r>
      <w:r>
        <w:t xml:space="preserve"> </w:t>
      </w:r>
      <m:oMath>
        <m:r>
          <m:t>70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rPr>
          <w:b/>
          <w:bCs/>
        </w:rPr>
        <w:t xml:space="preserve">90 million</w:t>
      </w:r>
      <w:r>
        <w:t xml:space="preserve">, including higher sulfuric acid, shipping and fuel costs.</w:t>
      </w:r>
    </w:p>
    <w:p>
      <w:pPr>
        <w:pStyle w:val="BodyText"/>
      </w:pPr>
      <w:r>
        <w:t xml:space="preserve">This creates an important distinction: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Revenue should improve.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Absolute EBITDA can improve.</w:t>
      </w:r>
    </w:p>
    <w:p>
      <w:pPr>
        <w:pStyle w:val="Compact"/>
        <w:numPr>
          <w:ilvl w:val="0"/>
          <w:numId w:val="1006"/>
        </w:numPr>
      </w:pPr>
      <w:r>
        <w:t xml:space="preserve">But</w:t>
      </w:r>
      <w:r>
        <w:t xml:space="preserve"> </w:t>
      </w:r>
      <w:r>
        <w:rPr>
          <w:b/>
          <w:bCs/>
        </w:rPr>
        <w:t xml:space="preserve">margin percentage may decline</w:t>
      </w:r>
      <w:r>
        <w:t xml:space="preserve">, without necessarily indicating deterioration in the underlying business.</w:t>
      </w:r>
    </w:p>
    <w:p>
      <w:pPr>
        <w:pStyle w:val="FirstParagraph"/>
      </w:pPr>
      <w:r>
        <w:t xml:space="preserve">A modest margin decline would be consistent with guidance. A sharp decline would suggest that inventory normalization and logistics costs are outweighing the favorable pricing environment.</w:t>
      </w:r>
    </w:p>
    <w:p>
      <w:r>
        <w:pict>
          <v:rect style="width:0;height:1.5pt" o:hralign="center" o:hrstd="t" o:hr="t"/>
        </w:pict>
      </w:r>
    </w:p>
    <w:bookmarkEnd w:id="18"/>
    <w:bookmarkStart w:id="19" w:name="Xcca8bbe498aed3e3a19c56dacb950c2150c400f"/>
    <w:p>
      <w:pPr>
        <w:pStyle w:val="Heading2"/>
      </w:pPr>
      <w:r>
        <w:t xml:space="preserve">3. Volume and asset execution may matter almost as much as price</w:t>
      </w:r>
    </w:p>
    <w:p>
      <w:pPr>
        <w:pStyle w:val="FirstParagraph"/>
      </w:pPr>
      <w:r>
        <w:t xml:space="preserve">Q1 Energy Storage sales volume was approximately</w:t>
      </w:r>
      <w:r>
        <w:t xml:space="preserve"> </w:t>
      </w:r>
      <w:r>
        <w:rPr>
          <w:b/>
          <w:bCs/>
        </w:rPr>
        <w:t xml:space="preserve">53,000 tonnes LCE</w:t>
      </w:r>
      <w:r>
        <w:t xml:space="preserve">. Management indicated volumes should rise in Q2 and Q3, while full-year sales volume remains roughly flat because Q4 2025 benefited from inventory reductions and creates a difficult comparison.</w:t>
      </w:r>
    </w:p>
    <w:p>
      <w:pPr>
        <w:pStyle w:val="BodyText"/>
      </w:pPr>
      <w:r>
        <w:t xml:space="preserve">The operating checklist includes: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Greenbushes CGP3:</w:t>
      </w:r>
      <w:r>
        <w:t xml:space="preserve"> </w:t>
      </w:r>
      <w:r>
        <w:t xml:space="preserve">Management previously said the project was ramping on schedule.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Wodgina:</w:t>
      </w:r>
      <w:r>
        <w:t xml:space="preserve"> </w:t>
      </w:r>
      <w:r>
        <w:t xml:space="preserve">All three trains are operating, but ore quality was expected to weaken temporarily before improving in the December quarter.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Kemerton:</w:t>
      </w:r>
      <w:r>
        <w:t xml:space="preserve"> </w:t>
      </w:r>
      <w:r>
        <w:t xml:space="preserve">Train 1 is moving into care and maintenance, with additional restructuring and decommissioning charges expected.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Inventory:</w:t>
      </w:r>
      <w:r>
        <w:t xml:space="preserve"> </w:t>
      </w:r>
      <w:r>
        <w:t xml:space="preserve">Product availability—not demand—was described as the principal constraint in May.</w:t>
      </w:r>
    </w:p>
    <w:p>
      <w:pPr>
        <w:pStyle w:val="FirstParagraph"/>
      </w:pPr>
      <w:r>
        <w:t xml:space="preserve">Industry demand remains bifurcated. Global battery-energy-storage shipments increased 108% year over year in the first five months of 2026, while EV growth was only 1%; BESS represented approximately 30% of lithium demand. (</w:t>
      </w:r>
      <w:hyperlink r:id="rId14">
        <w:r>
          <w:rPr>
            <w:rStyle w:val="Hyperlink"/>
          </w:rPr>
          <w:t xml:space="preserve">investegate.co.uk</w:t>
        </w:r>
      </w:hyperlink>
      <w:r>
        <w:t xml:space="preserve">)</w:t>
      </w:r>
    </w:p>
    <w:p>
      <w:pPr>
        <w:pStyle w:val="BodyText"/>
      </w:pPr>
      <w:r>
        <w:t xml:space="preserve">That mix favors lithium carbonate and LFP-related demand more than hydroxide-heavy Western EV exposure. Albemarle’s comments on product mix, customer orders and Q3 availability will therefore be important.</w:t>
      </w:r>
    </w:p>
    <w:p>
      <w:r>
        <w:pict>
          <v:rect style="width:0;height:1.5pt" o:hralign="center" o:hrstd="t" o:hr="t"/>
        </w:pict>
      </w:r>
    </w:p>
    <w:bookmarkEnd w:id="19"/>
    <w:bookmarkStart w:id="20" w:name="X1b19c9ea81c8e370fe1a95ccb73aebc2b9e0875"/>
    <w:p>
      <w:pPr>
        <w:pStyle w:val="Heading2"/>
      </w:pPr>
      <w:r>
        <w:t xml:space="preserve">4. Specialties guidance appears conservative—but may stay conservative</w:t>
      </w:r>
    </w:p>
    <w:p>
      <w:pPr>
        <w:pStyle w:val="FirstParagraph"/>
      </w:pPr>
      <w:r>
        <w:t xml:space="preserve">Specialties was a bright spot in Q1:</w:t>
      </w:r>
    </w:p>
    <w:p>
      <w:pPr>
        <w:pStyle w:val="Compact"/>
        <w:numPr>
          <w:ilvl w:val="0"/>
          <w:numId w:val="1008"/>
        </w:numPr>
      </w:pPr>
      <w:r>
        <w:t xml:space="preserve">Revenue:</w:t>
      </w:r>
      <w:r>
        <w:t xml:space="preserve"> </w:t>
      </w:r>
      <w:r>
        <w:rPr>
          <w:b/>
          <w:bCs/>
        </w:rPr>
        <w:t xml:space="preserve">$358 million</w:t>
      </w:r>
    </w:p>
    <w:p>
      <w:pPr>
        <w:pStyle w:val="Compact"/>
        <w:numPr>
          <w:ilvl w:val="0"/>
          <w:numId w:val="1008"/>
        </w:numPr>
      </w:pPr>
      <w:r>
        <w:t xml:space="preserve">Adjusted EBITDA:</w:t>
      </w:r>
      <w:r>
        <w:t xml:space="preserve"> </w:t>
      </w:r>
      <w:r>
        <w:rPr>
          <w:b/>
          <w:bCs/>
        </w:rPr>
        <w:t xml:space="preserve">$76 million</w:t>
      </w:r>
    </w:p>
    <w:p>
      <w:pPr>
        <w:pStyle w:val="Compact"/>
        <w:numPr>
          <w:ilvl w:val="0"/>
          <w:numId w:val="1008"/>
        </w:numPr>
      </w:pPr>
      <w:r>
        <w:t xml:space="preserve">EBITDA margin: approximately 21%</w:t>
      </w:r>
    </w:p>
    <w:p>
      <w:pPr>
        <w:pStyle w:val="FirstParagraph"/>
      </w:pPr>
      <w:r>
        <w:t xml:space="preserve">Management expected Q2 revenue to rise sequentially and EBITDA to increase modestly, supported by bromine pricing and volume.</w:t>
      </w:r>
    </w:p>
    <w:p>
      <w:pPr>
        <w:pStyle w:val="BodyText"/>
      </w:pPr>
      <w:r>
        <w:t xml:space="preserve">Current full-year guidance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Specialties 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FY2026 outlook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1.3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1.5B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225</m:t>
              </m:r>
              <m:r>
                <m:t>M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275M</w:t>
            </w:r>
          </w:p>
        </w:tc>
      </w:tr>
    </w:tbl>
    <w:p>
      <w:pPr>
        <w:pStyle w:val="BodyText"/>
      </w:pPr>
      <w:r>
        <w:t xml:space="preserve">If Q2 EBITDA exceeds Q1’s $76 million, first-half Specialties EBITDA would already surpass $150 million. That would leave only approximately</w:t>
      </w:r>
      <w:r>
        <w:t xml:space="preserve"> </w:t>
      </w:r>
      <m:oMath>
        <m:r>
          <m:t>75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t xml:space="preserve">125 million needed in the second half to achieve the existing range.</w:t>
      </w:r>
    </w:p>
    <w:p>
      <w:pPr>
        <w:pStyle w:val="BodyText"/>
      </w:pPr>
      <w:r>
        <w:t xml:space="preserve">This makes a guidance increase mathematically possible, but management may remain cautious because:</w:t>
      </w:r>
    </w:p>
    <w:p>
      <w:pPr>
        <w:pStyle w:val="Compact"/>
        <w:numPr>
          <w:ilvl w:val="0"/>
          <w:numId w:val="1009"/>
        </w:numPr>
      </w:pPr>
      <w:r>
        <w:t xml:space="preserve">Chinese bromine spot prices had begun easing by May.</w:t>
      </w:r>
    </w:p>
    <w:p>
      <w:pPr>
        <w:pStyle w:val="Compact"/>
        <w:numPr>
          <w:ilvl w:val="0"/>
          <w:numId w:val="1009"/>
        </w:numPr>
      </w:pPr>
      <w:r>
        <w:t xml:space="preserve">Only a minority of Specialties sales are directly exposed to visible Chinese spot indexes.</w:t>
      </w:r>
    </w:p>
    <w:p>
      <w:pPr>
        <w:pStyle w:val="Compact"/>
        <w:numPr>
          <w:ilvl w:val="0"/>
          <w:numId w:val="1009"/>
        </w:numPr>
      </w:pPr>
      <w:r>
        <w:t xml:space="preserve">Jordan Bromine operations remain exposed to Middle East logistics and geopolitical risk.</w:t>
      </w:r>
    </w:p>
    <w:p>
      <w:pPr>
        <w:pStyle w:val="Compact"/>
        <w:numPr>
          <w:ilvl w:val="0"/>
          <w:numId w:val="1009"/>
        </w:numPr>
      </w:pPr>
      <w:r>
        <w:t xml:space="preserve">Automotive and petrochemical demand remains uneven.</w:t>
      </w:r>
    </w:p>
    <w:p>
      <w:pPr>
        <w:pStyle w:val="FirstParagraph"/>
      </w:pPr>
      <w:r>
        <w:rPr>
          <w:b/>
          <w:bCs/>
        </w:rPr>
        <w:t xml:space="preserve">Best outcome:</w:t>
      </w:r>
      <w:r>
        <w:t xml:space="preserve"> </w:t>
      </w:r>
      <w:r>
        <w:t xml:space="preserve">Higher guidance or explicit commentary that the company is tracking toward the upper half.</w:t>
      </w:r>
    </w:p>
    <w:p>
      <w:pPr>
        <w:pStyle w:val="BodyText"/>
      </w:pPr>
      <w:r>
        <w:rPr>
          <w:b/>
          <w:bCs/>
        </w:rPr>
        <w:t xml:space="preserve">Acceptable outcome:</w:t>
      </w:r>
      <w:r>
        <w:t xml:space="preserve"> </w:t>
      </w:r>
      <w:r>
        <w:t xml:space="preserve">Guidance maintained, but with clear evidence that conservatism—not deteriorating orders—is the reason.</w:t>
      </w:r>
    </w:p>
    <w:p>
      <w:r>
        <w:pict>
          <v:rect style="width:0;height:1.5pt" o:hralign="center" o:hrstd="t" o:hr="t"/>
        </w:pict>
      </w:r>
    </w:p>
    <w:bookmarkEnd w:id="20"/>
    <w:bookmarkStart w:id="21" w:name="Xaf2bed165b6c63321e7a4593c02dddb037faff6"/>
    <w:p>
      <w:pPr>
        <w:pStyle w:val="Heading2"/>
      </w:pPr>
      <w:r>
        <w:t xml:space="preserve">5. Full-year outlook is the most important disclosure</w:t>
      </w:r>
    </w:p>
    <w:p>
      <w:pPr>
        <w:pStyle w:val="FirstParagraph"/>
      </w:pPr>
      <w:r>
        <w:t xml:space="preserve">Albemarle uses lithium-price scenarios rather than a conventional point forecast: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FY2026 scenario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~$10/kg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~$20/kg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~$30/kg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4.1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4.3B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5.7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6.0B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7.5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7.8B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0.9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1.0B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2.4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2.6B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4.2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4.4B</w:t>
            </w:r>
          </w:p>
        </w:tc>
      </w:tr>
    </w:tbl>
    <w:p>
      <w:pPr>
        <w:pStyle w:val="BodyText"/>
      </w:pPr>
      <w:r>
        <w:t xml:space="preserve">The Q2 lithium index average of approximately $22/kg should place reported results near or above the $20 scenario for the quarter. But because year-end earnings depend on future pricing, management may avoid formally raising the scenario ranges.</w:t>
      </w:r>
    </w:p>
    <w:p>
      <w:pPr>
        <w:pStyle w:val="BodyText"/>
      </w:pPr>
      <w:r>
        <w:t xml:space="preserve">The most useful guidance points will be:</w:t>
      </w:r>
    </w:p>
    <w:p>
      <w:pPr>
        <w:pStyle w:val="Compact"/>
        <w:numPr>
          <w:ilvl w:val="0"/>
          <w:numId w:val="1010"/>
        </w:numPr>
      </w:pPr>
      <w:r>
        <w:t xml:space="preserve">The updated observed lithium-price case.</w:t>
      </w:r>
    </w:p>
    <w:p>
      <w:pPr>
        <w:pStyle w:val="Compact"/>
        <w:numPr>
          <w:ilvl w:val="0"/>
          <w:numId w:val="1010"/>
        </w:numPr>
      </w:pPr>
      <w:r>
        <w:t xml:space="preserve">Whether FY2026 is tracking inside, above or below the $20/kg scenario.</w:t>
      </w:r>
    </w:p>
    <w:p>
      <w:pPr>
        <w:pStyle w:val="Compact"/>
        <w:numPr>
          <w:ilvl w:val="0"/>
          <w:numId w:val="1010"/>
        </w:numPr>
      </w:pPr>
      <w:r>
        <w:t xml:space="preserve">Any change to flat full-year sales-volume guidance.</w:t>
      </w:r>
    </w:p>
    <w:p>
      <w:pPr>
        <w:pStyle w:val="Compact"/>
        <w:numPr>
          <w:ilvl w:val="0"/>
          <w:numId w:val="1010"/>
        </w:numPr>
      </w:pPr>
      <w:r>
        <w:t xml:space="preserve">Updated Energy Storage margin expectations.</w:t>
      </w:r>
    </w:p>
    <w:p>
      <w:pPr>
        <w:pStyle w:val="Compact"/>
        <w:numPr>
          <w:ilvl w:val="0"/>
          <w:numId w:val="1010"/>
        </w:numPr>
      </w:pPr>
      <w:r>
        <w:t xml:space="preserve">Whether the</w:t>
      </w:r>
      <w:r>
        <w:t xml:space="preserve"> </w:t>
      </w:r>
      <m:oMath>
        <m:r>
          <m:t>70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t xml:space="preserve">90 million supply-chain headwind has improved or worsened.</w:t>
      </w:r>
    </w:p>
    <w:p>
      <w:pPr>
        <w:pStyle w:val="Compact"/>
        <w:numPr>
          <w:ilvl w:val="0"/>
          <w:numId w:val="1010"/>
        </w:numPr>
      </w:pPr>
      <w:r>
        <w:t xml:space="preserve">Progress against the</w:t>
      </w:r>
      <w:r>
        <w:t xml:space="preserve"> </w:t>
      </w:r>
      <m:oMath>
        <m:r>
          <m:t>100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rPr>
          <w:b/>
          <w:bCs/>
        </w:rPr>
        <w:t xml:space="preserve">150 million</w:t>
      </w:r>
      <w:r>
        <w:t xml:space="preserve"> </w:t>
      </w:r>
      <w:r>
        <w:t xml:space="preserve">annual cost/productivity target.</w:t>
      </w:r>
    </w:p>
    <w:p>
      <w:pPr>
        <w:pStyle w:val="FirstParagraph"/>
      </w:pPr>
      <w:r>
        <w:t xml:space="preserve">A strong Q2 accompanied by a cautious H2 price assumption could still be well received. A strong Q2 paired with reduced volume or margin expectations likely would not.</w:t>
      </w:r>
    </w:p>
    <w:p>
      <w:r>
        <w:pict>
          <v:rect style="width:0;height:1.5pt" o:hralign="center" o:hrstd="t" o:hr="t"/>
        </w:pict>
      </w:r>
    </w:p>
    <w:bookmarkEnd w:id="21"/>
    <w:bookmarkStart w:id="23" w:name="X80691f5bbe15342df796515fa2e0bd767f225d9"/>
    <w:p>
      <w:pPr>
        <w:pStyle w:val="Heading2"/>
      </w:pPr>
      <w:r>
        <w:t xml:space="preserve">6. Cash conversion and balance-sheet quality</w:t>
      </w:r>
    </w:p>
    <w:p>
      <w:pPr>
        <w:pStyle w:val="FirstParagraph"/>
      </w:pPr>
      <w:r>
        <w:t xml:space="preserve">Albemarle’s balance sheet is substantially stronger:</w:t>
      </w:r>
    </w:p>
    <w:p>
      <w:pPr>
        <w:pStyle w:val="Compact"/>
        <w:numPr>
          <w:ilvl w:val="0"/>
          <w:numId w:val="1011"/>
        </w:numPr>
      </w:pPr>
      <w:r>
        <w:t xml:space="preserve">Q1 liquidity: approximately</w:t>
      </w:r>
      <w:r>
        <w:t xml:space="preserve"> </w:t>
      </w:r>
      <w:r>
        <w:rPr>
          <w:b/>
          <w:bCs/>
        </w:rPr>
        <w:t xml:space="preserve">$2.7 billion</w:t>
      </w:r>
    </w:p>
    <w:p>
      <w:pPr>
        <w:pStyle w:val="Compact"/>
        <w:numPr>
          <w:ilvl w:val="0"/>
          <w:numId w:val="1011"/>
        </w:numPr>
      </w:pPr>
      <w:r>
        <w:t xml:space="preserve">Cash: approximately</w:t>
      </w:r>
      <w:r>
        <w:t xml:space="preserve"> </w:t>
      </w:r>
      <w:r>
        <w:rPr>
          <w:b/>
          <w:bCs/>
        </w:rPr>
        <w:t xml:space="preserve">$1.1 billion</w:t>
      </w:r>
    </w:p>
    <w:p>
      <w:pPr>
        <w:pStyle w:val="Compact"/>
        <w:numPr>
          <w:ilvl w:val="0"/>
          <w:numId w:val="1011"/>
        </w:numPr>
      </w:pPr>
      <w:r>
        <w:t xml:space="preserve">Total debt: approximately</w:t>
      </w:r>
      <w:r>
        <w:t xml:space="preserve"> </w:t>
      </w:r>
      <w:r>
        <w:rPr>
          <w:b/>
          <w:bCs/>
        </w:rPr>
        <w:t xml:space="preserve">$1.9 billion</w:t>
      </w:r>
    </w:p>
    <w:p>
      <w:pPr>
        <w:pStyle w:val="Compact"/>
        <w:numPr>
          <w:ilvl w:val="0"/>
          <w:numId w:val="1011"/>
        </w:numPr>
      </w:pPr>
      <w:r>
        <w:t xml:space="preserve">Net debt/adjusted EBITDA: approximately</w:t>
      </w:r>
      <w:r>
        <w:t xml:space="preserve"> </w:t>
      </w:r>
      <w:r>
        <w:rPr>
          <w:b/>
          <w:bCs/>
        </w:rPr>
        <w:t xml:space="preserve">1.0x</w:t>
      </w:r>
    </w:p>
    <w:p>
      <w:pPr>
        <w:pStyle w:val="Compact"/>
        <w:numPr>
          <w:ilvl w:val="0"/>
          <w:numId w:val="1011"/>
        </w:numPr>
      </w:pPr>
      <w:r>
        <w:t xml:space="preserve">No major debt maturity until late 2028</w:t>
      </w:r>
    </w:p>
    <w:p>
      <w:pPr>
        <w:pStyle w:val="FirstParagraph"/>
      </w:pPr>
      <w:r>
        <w:t xml:space="preserve">The company repaid $1.3 billion of debt following the Ketjen and Eurecat transactions, reducing annual interest expense by roughly $60 million. (</w:t>
      </w:r>
      <w:hyperlink r:id="rId22">
        <w:r>
          <w:rPr>
            <w:rStyle w:val="Hyperlink"/>
          </w:rPr>
          <w:t xml:space="preserve">sec.gov</w:t>
        </w:r>
      </w:hyperlink>
      <w:r>
        <w:t xml:space="preserve">)</w:t>
      </w:r>
    </w:p>
    <w:p>
      <w:pPr>
        <w:pStyle w:val="BodyText"/>
      </w:pPr>
      <w:r>
        <w:t xml:space="preserve">The Q2 focus shifts to the quality of cash generation. Items worth examining include:</w:t>
      </w:r>
    </w:p>
    <w:p>
      <w:pPr>
        <w:pStyle w:val="Compact"/>
        <w:numPr>
          <w:ilvl w:val="0"/>
          <w:numId w:val="1012"/>
        </w:numPr>
      </w:pPr>
      <w:r>
        <w:t xml:space="preserve">Inventory, which rose by approximately $168 million in Q1.</w:t>
      </w:r>
    </w:p>
    <w:p>
      <w:pPr>
        <w:pStyle w:val="Compact"/>
        <w:numPr>
          <w:ilvl w:val="0"/>
          <w:numId w:val="1012"/>
        </w:numPr>
      </w:pPr>
      <w:r>
        <w:t xml:space="preserve">Working-capital requirements as lithium prices rise.</w:t>
      </w:r>
    </w:p>
    <w:p>
      <w:pPr>
        <w:pStyle w:val="Compact"/>
        <w:numPr>
          <w:ilvl w:val="0"/>
          <w:numId w:val="1012"/>
        </w:numPr>
      </w:pPr>
      <w:r>
        <w:t xml:space="preserve">Receivables sales: Albemarle sold approximately $235 million of receivables in Q1 under its financing program.</w:t>
      </w:r>
    </w:p>
    <w:p>
      <w:pPr>
        <w:pStyle w:val="Compact"/>
        <w:numPr>
          <w:ilvl w:val="0"/>
          <w:numId w:val="1012"/>
        </w:numPr>
      </w:pPr>
      <w:r>
        <w:t xml:space="preserve">Deferred revenue recognized in earnings but not accompanied by current cash receipts.</w:t>
      </w:r>
    </w:p>
    <w:p>
      <w:pPr>
        <w:pStyle w:val="Compact"/>
        <w:numPr>
          <w:ilvl w:val="0"/>
          <w:numId w:val="1012"/>
        </w:numPr>
      </w:pPr>
      <w:r>
        <w:t xml:space="preserve">Capital spending versus the</w:t>
      </w:r>
      <w:r>
        <w:t xml:space="preserve"> </w:t>
      </w:r>
      <m:oMath>
        <m:r>
          <m:t>550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rPr>
          <w:b/>
          <w:bCs/>
        </w:rPr>
        <w:t xml:space="preserve">600 million</w:t>
      </w:r>
      <w:r>
        <w:t xml:space="preserve"> </w:t>
      </w:r>
      <w:r>
        <w:t xml:space="preserve">full-year target.</w:t>
      </w:r>
    </w:p>
    <w:p>
      <w:pPr>
        <w:pStyle w:val="Compact"/>
        <w:numPr>
          <w:ilvl w:val="0"/>
          <w:numId w:val="1012"/>
        </w:numPr>
      </w:pPr>
      <w:r>
        <w:t xml:space="preserve">Kemerton cash costs and restructuring payments.</w:t>
      </w:r>
    </w:p>
    <w:p>
      <w:pPr>
        <w:pStyle w:val="FirstParagraph"/>
      </w:pPr>
      <w:r>
        <w:t xml:space="preserve">Positive free cash flow with stable or lower inventory would be a particularly constructive signal.</w:t>
      </w:r>
    </w:p>
    <w:p>
      <w:r>
        <w:pict>
          <v:rect style="width:0;height:1.5pt" o:hralign="center" o:hrstd="t" o:hr="t"/>
        </w:pict>
      </w:r>
    </w:p>
    <w:bookmarkEnd w:id="23"/>
    <w:bookmarkStart w:id="27" w:name="bull-base-and-bear-scorecard"/>
    <w:p>
      <w:pPr>
        <w:pStyle w:val="Heading2"/>
      </w:pPr>
      <w:r>
        <w:t xml:space="preserve">Bull, base and bear scorecard</w:t>
      </w:r>
    </w:p>
    <w:bookmarkStart w:id="24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3"/>
        </w:numPr>
      </w:pPr>
      <w:r>
        <w:t xml:space="preserve">Revenue and EPS above consensus.</w:t>
      </w:r>
    </w:p>
    <w:p>
      <w:pPr>
        <w:pStyle w:val="Compact"/>
        <w:numPr>
          <w:ilvl w:val="0"/>
          <w:numId w:val="1013"/>
        </w:numPr>
      </w:pPr>
      <w:r>
        <w:t xml:space="preserve">Q2 realized lithium price at or above approximately $20/kg.</w:t>
      </w:r>
    </w:p>
    <w:p>
      <w:pPr>
        <w:pStyle w:val="Compact"/>
        <w:numPr>
          <w:ilvl w:val="0"/>
          <w:numId w:val="1013"/>
        </w:numPr>
      </w:pPr>
      <w:r>
        <w:t xml:space="preserve">Energy Storage EBITDA rises despite manageable margin normalization.</w:t>
      </w:r>
    </w:p>
    <w:p>
      <w:pPr>
        <w:pStyle w:val="Compact"/>
        <w:numPr>
          <w:ilvl w:val="0"/>
          <w:numId w:val="1013"/>
        </w:numPr>
      </w:pPr>
      <w:r>
        <w:t xml:space="preserve">Full-year results tracking near the upper end of the $20/kg scenario.</w:t>
      </w:r>
    </w:p>
    <w:p>
      <w:pPr>
        <w:pStyle w:val="Compact"/>
        <w:numPr>
          <w:ilvl w:val="0"/>
          <w:numId w:val="1013"/>
        </w:numPr>
      </w:pPr>
      <w:r>
        <w:t xml:space="preserve">Specialties guidance raised or characterized as conservative.</w:t>
      </w:r>
    </w:p>
    <w:p>
      <w:pPr>
        <w:pStyle w:val="Compact"/>
        <w:numPr>
          <w:ilvl w:val="0"/>
          <w:numId w:val="1013"/>
        </w:numPr>
      </w:pPr>
      <w:r>
        <w:t xml:space="preserve">Strong cash flow with better inventory performance.</w:t>
      </w:r>
    </w:p>
    <w:p>
      <w:pPr>
        <w:pStyle w:val="Compact"/>
        <w:numPr>
          <w:ilvl w:val="0"/>
          <w:numId w:val="1013"/>
        </w:numPr>
      </w:pPr>
      <w:r>
        <w:t xml:space="preserve">Positive update on contract renewals or Q3 demand.</w:t>
      </w:r>
    </w:p>
    <w:bookmarkEnd w:id="24"/>
    <w:bookmarkStart w:id="25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4"/>
        </w:numPr>
      </w:pPr>
      <w:r>
        <w:t xml:space="preserve">Revenue around $1.55 billion and adjusted EPS near</w:t>
      </w:r>
      <w:r>
        <w:t xml:space="preserve"> </w:t>
      </w:r>
      <m:oMath>
        <m:r>
          <m:t>3.10</m:t>
        </m:r>
        <m:r>
          <m:rPr>
            <m:sty m:val="p"/>
          </m:rPr>
          <m:t>–</m:t>
        </m:r>
      </m:oMath>
      <w:r>
        <w:t xml:space="preserve">3.20.</w:t>
      </w:r>
    </w:p>
    <w:p>
      <w:pPr>
        <w:pStyle w:val="Compact"/>
        <w:numPr>
          <w:ilvl w:val="0"/>
          <w:numId w:val="1014"/>
        </w:numPr>
      </w:pPr>
      <w:r>
        <w:t xml:space="preserve">Energy Storage revenue and EBITDA rise sequentially.</w:t>
      </w:r>
    </w:p>
    <w:p>
      <w:pPr>
        <w:pStyle w:val="Compact"/>
        <w:numPr>
          <w:ilvl w:val="0"/>
          <w:numId w:val="1014"/>
        </w:numPr>
      </w:pPr>
      <w:r>
        <w:t xml:space="preserve">Margin declines as expected because of spodumene timing and logistics costs.</w:t>
      </w:r>
    </w:p>
    <w:p>
      <w:pPr>
        <w:pStyle w:val="Compact"/>
        <w:numPr>
          <w:ilvl w:val="0"/>
          <w:numId w:val="1014"/>
        </w:numPr>
      </w:pPr>
      <w:r>
        <w:t xml:space="preserve">Existing scenario guidance and volume outlook maintained.</w:t>
      </w:r>
    </w:p>
    <w:p>
      <w:pPr>
        <w:pStyle w:val="Compact"/>
        <w:numPr>
          <w:ilvl w:val="0"/>
          <w:numId w:val="1014"/>
        </w:numPr>
      </w:pPr>
      <w:r>
        <w:t xml:space="preserve">Specialties performs well but guidance remains unchanged.</w:t>
      </w:r>
    </w:p>
    <w:p>
      <w:pPr>
        <w:pStyle w:val="Compact"/>
        <w:numPr>
          <w:ilvl w:val="0"/>
          <w:numId w:val="1014"/>
        </w:numPr>
      </w:pPr>
      <w:r>
        <w:t xml:space="preserve">Cash flow remains positive but working capital absorbs part of the earnings improvement.</w:t>
      </w:r>
    </w:p>
    <w:bookmarkEnd w:id="25"/>
    <w:bookmarkStart w:id="26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5"/>
        </w:numPr>
      </w:pPr>
      <w:r>
        <w:t xml:space="preserve">Realized lithium pricing lags the market more than expected.</w:t>
      </w:r>
    </w:p>
    <w:p>
      <w:pPr>
        <w:pStyle w:val="Compact"/>
        <w:numPr>
          <w:ilvl w:val="0"/>
          <w:numId w:val="1015"/>
        </w:numPr>
      </w:pPr>
      <w:r>
        <w:t xml:space="preserve">Energy Storage margin falls sharply.</w:t>
      </w:r>
    </w:p>
    <w:p>
      <w:pPr>
        <w:pStyle w:val="Compact"/>
        <w:numPr>
          <w:ilvl w:val="0"/>
          <w:numId w:val="1015"/>
        </w:numPr>
      </w:pPr>
      <w:r>
        <w:t xml:space="preserve">Greenbushes or Wodgina ramp issues reduce volume expectations.</w:t>
      </w:r>
    </w:p>
    <w:p>
      <w:pPr>
        <w:pStyle w:val="Compact"/>
        <w:numPr>
          <w:ilvl w:val="0"/>
          <w:numId w:val="1015"/>
        </w:numPr>
      </w:pPr>
      <w:r>
        <w:t xml:space="preserve">Supply-chain costs exceed prior estimates.</w:t>
      </w:r>
    </w:p>
    <w:p>
      <w:pPr>
        <w:pStyle w:val="Compact"/>
        <w:numPr>
          <w:ilvl w:val="0"/>
          <w:numId w:val="1015"/>
        </w:numPr>
      </w:pPr>
      <w:r>
        <w:t xml:space="preserve">Specialties’ second-half outlook weakens.</w:t>
      </w:r>
    </w:p>
    <w:p>
      <w:pPr>
        <w:pStyle w:val="Compact"/>
        <w:numPr>
          <w:ilvl w:val="0"/>
          <w:numId w:val="1015"/>
        </w:numPr>
      </w:pPr>
      <w:r>
        <w:t xml:space="preserve">Inventory continues building and cash conversion disappoints.</w:t>
      </w:r>
    </w:p>
    <w:p>
      <w:pPr>
        <w:pStyle w:val="Compact"/>
        <w:numPr>
          <w:ilvl w:val="0"/>
          <w:numId w:val="1015"/>
        </w:numPr>
      </w:pPr>
      <w:r>
        <w:t xml:space="preserve">Management suggests current lithium pricing is below what is needed to sustain the $20/kg scenario.</w:t>
      </w:r>
    </w:p>
    <w:p>
      <w:r>
        <w:pict>
          <v:rect style="width:0;height:1.5pt" o:hralign="center" o:hrstd="t" o:hr="t"/>
        </w:pict>
      </w:r>
    </w:p>
    <w:bookmarkEnd w:id="26"/>
    <w:bookmarkEnd w:id="27"/>
    <w:bookmarkStart w:id="28" w:name="key-questions-for-the-call"/>
    <w:p>
      <w:pPr>
        <w:pStyle w:val="Heading2"/>
      </w:pPr>
      <w:r>
        <w:t xml:space="preserve">Key questions for the call</w:t>
      </w:r>
    </w:p>
    <w:p>
      <w:pPr>
        <w:pStyle w:val="Compact"/>
        <w:numPr>
          <w:ilvl w:val="0"/>
          <w:numId w:val="1016"/>
        </w:numPr>
      </w:pPr>
      <w:r>
        <w:t xml:space="preserve">What was Q2 Energy Storage realized pricing, and how much of the Q1-to-Q2 increase came from contract lag?</w:t>
      </w:r>
    </w:p>
    <w:p>
      <w:pPr>
        <w:pStyle w:val="Compact"/>
        <w:numPr>
          <w:ilvl w:val="0"/>
          <w:numId w:val="1016"/>
        </w:numPr>
      </w:pPr>
      <w:r>
        <w:t xml:space="preserve">What should investors use as a normalized Energy Storage EBITDA margin at current lithium prices?</w:t>
      </w:r>
    </w:p>
    <w:p>
      <w:pPr>
        <w:pStyle w:val="Compact"/>
        <w:numPr>
          <w:ilvl w:val="0"/>
          <w:numId w:val="1016"/>
        </w:numPr>
      </w:pPr>
      <w:r>
        <w:t xml:space="preserve">Are full-year sales volumes still expected to be flat, and what operational assumptions underpin that forecast?</w:t>
      </w:r>
    </w:p>
    <w:p>
      <w:pPr>
        <w:pStyle w:val="Compact"/>
        <w:numPr>
          <w:ilvl w:val="0"/>
          <w:numId w:val="1016"/>
        </w:numPr>
      </w:pPr>
      <w:r>
        <w:t xml:space="preserve">How are Greenbushes CGP3 and Wodgina performing relative to plan?</w:t>
      </w:r>
    </w:p>
    <w:p>
      <w:pPr>
        <w:pStyle w:val="Compact"/>
        <w:numPr>
          <w:ilvl w:val="0"/>
          <w:numId w:val="1016"/>
        </w:numPr>
      </w:pPr>
      <w:r>
        <w:t xml:space="preserve">Has the estimated</w:t>
      </w:r>
      <w:r>
        <w:t xml:space="preserve"> </w:t>
      </w:r>
      <m:oMath>
        <m:r>
          <m:t>70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t xml:space="preserve">90 million supply-chain impact changed?</w:t>
      </w:r>
    </w:p>
    <w:p>
      <w:pPr>
        <w:pStyle w:val="Compact"/>
        <w:numPr>
          <w:ilvl w:val="0"/>
          <w:numId w:val="1016"/>
        </w:numPr>
      </w:pPr>
      <w:r>
        <w:t xml:space="preserve">Why should Specialties EBITDA decline in the second half if Q2 improved sequentially?</w:t>
      </w:r>
    </w:p>
    <w:p>
      <w:pPr>
        <w:pStyle w:val="Compact"/>
        <w:numPr>
          <w:ilvl w:val="0"/>
          <w:numId w:val="1016"/>
        </w:numPr>
      </w:pPr>
      <w:r>
        <w:t xml:space="preserve">What is the likely future mix between spot and long-term lithium contracts?</w:t>
      </w:r>
    </w:p>
    <w:p>
      <w:pPr>
        <w:pStyle w:val="Compact"/>
        <w:numPr>
          <w:ilvl w:val="0"/>
          <w:numId w:val="1016"/>
        </w:numPr>
      </w:pPr>
      <w:r>
        <w:t xml:space="preserve">How much Q2 operating cash flow came from underlying operations versus receivables programs and other working-capital actions?</w:t>
      </w:r>
    </w:p>
    <w:p>
      <w:pPr>
        <w:pStyle w:val="Compact"/>
        <w:numPr>
          <w:ilvl w:val="0"/>
          <w:numId w:val="1016"/>
        </w:numPr>
      </w:pPr>
      <w:r>
        <w:t xml:space="preserve">Is excess cash now intended primarily for further debt reduction, or could capital returns and growth spending resume?</w:t>
      </w:r>
    </w:p>
    <w:bookmarkEnd w:id="28"/>
    <w:bookmarkStart w:id="2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ALB enters the report with</w:t>
      </w:r>
      <w:r>
        <w:t xml:space="preserve"> </w:t>
      </w:r>
      <w:r>
        <w:rPr>
          <w:b/>
          <w:bCs/>
        </w:rPr>
        <w:t xml:space="preserve">strong Q2 price and demand tailwinds but substantial skepticism embedded in the stock</w:t>
      </w:r>
      <w:r>
        <w:t xml:space="preserve">. The likely reported improvement is already evident; the decisive issue is whether management can demonstrate that the earnings recovery survives normalizing inventory costs, volatile lithium prices and higher logistics expenses.</w:t>
      </w:r>
    </w:p>
    <w:p>
      <w:pPr>
        <w:pStyle w:val="BodyText"/>
      </w:pPr>
      <w:r>
        <w:t xml:space="preserve">The cleanest positive combination would be:</w:t>
      </w:r>
    </w:p>
    <w:p>
      <w:pPr>
        <w:pStyle w:val="BlockText"/>
      </w:pPr>
      <w:r>
        <w:rPr>
          <w:b/>
          <w:bCs/>
        </w:rPr>
        <w:t xml:space="preserve">Higher realized lithium pricing + controlled margin normalization + unchanged or better full-year outlook + credible free-cash-flow conversion.</w:t>
      </w:r>
    </w:p>
    <w:p>
      <w:pPr>
        <w:pStyle w:val="FirstParagraph"/>
      </w:pPr>
      <w:r>
        <w:t xml:space="preserve">Without those elements, even an EPS beat could be treated as backward-looking rather than evidence of a durable recovery.</w:t>
      </w:r>
    </w:p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https://www.albemarle.com/au/en/news/albemarle-reports-first-quarter-2026-results?utm_source=openai" TargetMode="External" /><Relationship Type="http://schemas.openxmlformats.org/officeDocument/2006/relationships/hyperlink" Id="rId9" Target="https://www.albemarle.com/cl/en/news/albemarle-corporation-release-second-quarter-2026-earnings-results-wednesday-august-5-2026?utm_source=openai" TargetMode="External" /><Relationship Type="http://schemas.openxmlformats.org/officeDocument/2006/relationships/hyperlink" Id="rId11" Target="https://www.benzinga.com/quote/ALB/earnings?utm_source=openai" TargetMode="External" /><Relationship Type="http://schemas.openxmlformats.org/officeDocument/2006/relationships/hyperlink" Id="rId14" Target="https://www.investegate.co.uk/announcement/rns/rio-tinto--rio/second-quarter-production-results/9668973" TargetMode="External" /><Relationship Type="http://schemas.openxmlformats.org/officeDocument/2006/relationships/hyperlink" Id="rId22" Target="https://www.sec.gov/Archives/edgar/data/915913/000091591326000072/alb-20260331.htm?utm_source=opena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https://www.albemarle.com/au/en/news/albemarle-reports-first-quarter-2026-results?utm_source=openai" TargetMode="External" /><Relationship Type="http://schemas.openxmlformats.org/officeDocument/2006/relationships/hyperlink" Id="rId9" Target="https://www.albemarle.com/cl/en/news/albemarle-corporation-release-second-quarter-2026-earnings-results-wednesday-august-5-2026?utm_source=openai" TargetMode="External" /><Relationship Type="http://schemas.openxmlformats.org/officeDocument/2006/relationships/hyperlink" Id="rId11" Target="https://www.benzinga.com/quote/ALB/earnings?utm_source=openai" TargetMode="External" /><Relationship Type="http://schemas.openxmlformats.org/officeDocument/2006/relationships/hyperlink" Id="rId14" Target="https://www.investegate.co.uk/announcement/rns/rio-tinto--rio/second-quarter-production-results/9668973" TargetMode="External" /><Relationship Type="http://schemas.openxmlformats.org/officeDocument/2006/relationships/hyperlink" Id="rId22" Target="https://www.sec.gov/Archives/edgar/data/915913/000091591326000072/alb-20260331.htm?utm_source=opena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2026-08-05T01:21:36Z</dcterms:created>
  <dcterms:modified xsi:type="dcterms:W3CDTF">2026-08-05T01:21:36Z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