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lb-earnings-predictions--2026-08-05"/>
    <w:p>
      <w:pPr>
        <w:pStyle w:val="Heading1"/>
      </w:pPr>
      <w:r>
        <w:t xml:space="preserve">ALB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~$3.42 vs. cons $3.20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~$1.66B vs. cons $1.61B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~$0.76B vs. cons $0.73B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total-company adjusted EBITDA framework (at ~$20/kg LCE)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~$2.50B vs. cons $2.99B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total-company sales framework (at ~$20/kg LCE)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~$5.85B vs. cons $6.40B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Energy Storage sales volume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~235kt LCE vs. cons ~235kt LCE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Specialties adjusted EBITDA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250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255M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(FADE)</w:t>
            </w:r>
          </w:p>
        </w:tc>
        <w:tc>
          <w:tcPr/>
          <w:p>
            <w:pPr>
              <w:pStyle w:val="Compact"/>
            </w:pPr>
            <w:r>
              <w:t xml:space="preserve">Day-1 residual ~+3.5% vs. 5-day residual ~-1.0%: a Q2 EPS/revenue/EBITDA beat should drive an initial relief move, but maintaining a ~</w:t>
            </w:r>
            <m:oMath>
              <m:r>
                <m:t>2.50</m:t>
              </m:r>
              <m:r>
                <m:t>B</m:t>
              </m:r>
              <m:r>
                <m:t>F</m:t>
              </m:r>
              <m:r>
                <m:t>Y</m:t>
              </m:r>
              <m:r>
                <m:t>26</m:t>
              </m:r>
              <m:r>
                <m:t>E</m:t>
              </m:r>
              <m:r>
                <m:t>B</m:t>
              </m:r>
              <m:r>
                <m:t>I</m:t>
              </m:r>
              <m:r>
                <m:t>T</m:t>
              </m:r>
              <m:r>
                <m:t>D</m:t>
              </m:r>
              <m:r>
                <m:t>A</m:t>
              </m:r>
              <m:r>
                <m:t>f</m:t>
              </m:r>
              <m:r>
                <m:t>r</m:t>
              </m:r>
              <m:r>
                <m:t>a</m:t>
              </m:r>
              <m:r>
                <m:t>m</m:t>
              </m:r>
              <m:r>
                <m:t>e</m:t>
              </m:r>
              <m:r>
                <m:t>w</m:t>
              </m:r>
              <m:r>
                <m:t>o</m:t>
              </m:r>
              <m:r>
                <m:t>r</m:t>
              </m:r>
              <m:r>
                <m:t>k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2.99B consensus leaves unfavorable out-period math and likely trims to FY26/FY27 estimates.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2026-08-05T01:20:30Z</dcterms:created>
  <dcterms:modified xsi:type="dcterms:W3CDTF">2026-08-05T01:20:30Z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