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e562df6903d60b03cce34c032ed5d1d572938bc"/>
    <w:p>
      <w:pPr>
        <w:pStyle w:val="Heading1"/>
      </w:pPr>
      <w:r>
        <w:t xml:space="preserve">Albemarle (NYSE: ALB) — 2Q26 Earnings Preview</w:t>
      </w:r>
    </w:p>
    <w:p>
      <w:pPr>
        <w:pStyle w:val="BlockText"/>
      </w:pPr>
      <w:r>
        <w:rPr>
          <w:b/>
          <w:bCs/>
        </w:rPr>
        <w:t xml:space="preserve">Date correction:</w:t>
      </w:r>
      <w:r>
        <w:t xml:space="preserve"> </w:t>
      </w:r>
      <w:r>
        <w:t xml:space="preserve">As of</w:t>
      </w:r>
      <w:r>
        <w:t xml:space="preserve"> </w:t>
      </w:r>
      <w:r>
        <w:rPr>
          <w:b/>
          <w:bCs/>
        </w:rPr>
        <w:t xml:space="preserve">Wednesday, August 5, 2026</w:t>
      </w:r>
      <w:r>
        <w:t xml:space="preserve">, ALB reports</w:t>
      </w:r>
      <w:r>
        <w:t xml:space="preserve"> </w:t>
      </w:r>
      <w:r>
        <w:rPr>
          <w:b/>
          <w:bCs/>
        </w:rPr>
        <w:t xml:space="preserve">today</w:t>
      </w:r>
      <w:r>
        <w:t xml:space="preserve">, not tomorrow: results are due</w:t>
      </w:r>
      <w:r>
        <w:t xml:space="preserve"> </w:t>
      </w:r>
      <w:r>
        <w:rPr>
          <w:b/>
          <w:bCs/>
        </w:rPr>
        <w:t xml:space="preserve">after the NYSE close on August 5</w:t>
      </w:r>
      <w:r>
        <w:t xml:space="preserve">, followed by the earnings call at</w:t>
      </w:r>
      <w:r>
        <w:t xml:space="preserve"> </w:t>
      </w:r>
      <w:r>
        <w:rPr>
          <w:b/>
          <w:bCs/>
        </w:rPr>
        <w:t xml:space="preserve">8:00 a.m. EDT on Thursday, August 6</w:t>
      </w:r>
      <w:r>
        <w:t xml:space="preserve">. (</w:t>
      </w:r>
      <w:hyperlink r:id="rId9">
        <w:r>
          <w:rPr>
            <w:rStyle w:val="Hyperlink"/>
          </w:rPr>
          <w:t xml:space="preserve">investors.albemarle.com</w:t>
        </w:r>
      </w:hyperlink>
      <w:r>
        <w:t xml:space="preserve">)</w:t>
      </w:r>
    </w:p>
    <w:bookmarkStart w:id="10" w:name="bottom-line"/>
    <w:p>
      <w:pPr>
        <w:pStyle w:val="Heading2"/>
      </w:pPr>
      <w:r>
        <w:t xml:space="preserve">Bottom line</w:t>
      </w:r>
    </w:p>
    <w:p>
      <w:pPr>
        <w:pStyle w:val="FirstParagraph"/>
      </w:pPr>
      <w:r>
        <w:t xml:space="preserve">Albemarle enters 2Q with a favorable</w:t>
      </w:r>
      <w:r>
        <w:t xml:space="preserve"> </w:t>
      </w:r>
      <w:r>
        <w:rPr>
          <w:i/>
          <w:iCs/>
        </w:rPr>
        <w:t xml:space="preserve">sequential</w:t>
      </w:r>
      <w:r>
        <w:t xml:space="preserve"> </w:t>
      </w:r>
      <w:r>
        <w:t xml:space="preserve">setup: management explicitly expected both</w:t>
      </w:r>
      <w:r>
        <w:t xml:space="preserve"> </w:t>
      </w:r>
      <w:r>
        <w:rPr>
          <w:b/>
          <w:bCs/>
        </w:rPr>
        <w:t xml:space="preserve">Energy Storage revenue and EBITDA to increase from 1Q</w:t>
      </w:r>
      <w:r>
        <w:t xml:space="preserve">, driven by higher volumes and contractual lithium-price lags. The key debate is not simply whether EBITDA rises—management essentially pre-signaled that—but whether the quarter demonstrates that the improvement is</w:t>
      </w:r>
      <w:r>
        <w:t xml:space="preserve"> </w:t>
      </w:r>
      <w:r>
        <w:rPr>
          <w:b/>
          <w:bCs/>
        </w:rPr>
        <w:t xml:space="preserve">durable through the second half</w:t>
      </w:r>
      <w:r>
        <w:t xml:space="preserve"> </w:t>
      </w:r>
      <w:r>
        <w:t xml:space="preserve">despite a likely sequential Energy Storage margin decline, higher supply-chain costs, and operational risk at its hard-rock JVs.</w:t>
      </w:r>
    </w:p>
    <w:p>
      <w:pPr>
        <w:pStyle w:val="BodyText"/>
      </w:pPr>
      <w:r>
        <w:t xml:space="preserve">The stock also enters the print with a lower bar. ALB closed at</w:t>
      </w:r>
      <w:r>
        <w:t xml:space="preserve"> </w:t>
      </w:r>
      <w:r>
        <w:rPr>
          <w:b/>
          <w:bCs/>
        </w:rPr>
        <w:t xml:space="preserve">$120.85 on August 4</w:t>
      </w:r>
      <w:r>
        <w:t xml:space="preserve">, down roughly</w:t>
      </w:r>
      <w:r>
        <w:t xml:space="preserve"> </w:t>
      </w:r>
      <w:r>
        <w:rPr>
          <w:b/>
          <w:bCs/>
        </w:rPr>
        <w:t xml:space="preserve">38% from $193.88 on May 1</w:t>
      </w:r>
      <w:r>
        <w:t xml:space="preserve">. A solid quarter with intact scenario-based guidance could therefore be enough for a relief move. Conversely, any reduction to the earnings framework or evidence that lithium-price strength is not converting into realized prices, margins, and cash flow would likely matter more than a modest headline beat.</w:t>
      </w:r>
    </w:p>
    <w:bookmarkEnd w:id="10"/>
    <w:bookmarkStart w:id="11" w:name="Xaf22210cc457624535781b804427417389c556c"/>
    <w:p>
      <w:pPr>
        <w:pStyle w:val="Heading2"/>
      </w:pPr>
      <w:r>
        <w:t xml:space="preserve">The setup: 1Q was strong, and management guided to a better 2Q</w:t>
      </w:r>
    </w:p>
    <w:p>
      <w:pPr>
        <w:pStyle w:val="FirstParagraph"/>
      </w:pPr>
      <w:r>
        <w:t xml:space="preserve">Albemarle’s 1Q26 results were materially stronger than the prior year: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YoY change</w:t>
            </w:r>
          </w:p>
        </w:tc>
      </w:tr>
      <w:tr>
        <w:tc>
          <w:tcPr/>
          <w:p>
            <w:pPr>
              <w:pStyle w:val="Compact"/>
            </w:pPr>
            <w:r>
              <w:t xml:space="preserve">Net sales</w:t>
            </w:r>
          </w:p>
        </w:tc>
        <w:tc>
          <w:tcPr/>
          <w:p>
            <w:pPr>
              <w:pStyle w:val="Compact"/>
              <w:jc w:val="right"/>
            </w:pPr>
            <w:r>
              <w:rPr>
                <w:b/>
                <w:bCs/>
              </w:rPr>
              <w:t xml:space="preserve">$1.43B</w:t>
            </w:r>
          </w:p>
        </w:tc>
        <w:tc>
          <w:tcPr/>
          <w:p>
            <w:pPr>
              <w:pStyle w:val="Compact"/>
              <w:jc w:val="right"/>
            </w:pPr>
            <w:r>
              <w:rPr>
                <w:b/>
                <w:bCs/>
              </w:rPr>
              <w:t xml:space="preserve">+33%</w:t>
            </w:r>
          </w:p>
        </w:tc>
      </w:tr>
      <w:tr>
        <w:tc>
          <w:tcPr/>
          <w:p>
            <w:pPr>
              <w:pStyle w:val="Compact"/>
            </w:pPr>
            <w:r>
              <w:t xml:space="preserve">Adjusted EBITDA</w:t>
            </w:r>
          </w:p>
        </w:tc>
        <w:tc>
          <w:tcPr/>
          <w:p>
            <w:pPr>
              <w:pStyle w:val="Compact"/>
              <w:jc w:val="right"/>
            </w:pPr>
            <w:r>
              <w:rPr>
                <w:b/>
                <w:bCs/>
              </w:rPr>
              <w:t xml:space="preserve">$664M</w:t>
            </w:r>
          </w:p>
        </w:tc>
        <w:tc>
          <w:tcPr/>
          <w:p>
            <w:pPr>
              <w:pStyle w:val="Compact"/>
              <w:jc w:val="right"/>
            </w:pPr>
            <w:r>
              <w:rPr>
                <w:b/>
                <w:bCs/>
              </w:rPr>
              <w:t xml:space="preserve">+148%</w:t>
            </w:r>
          </w:p>
        </w:tc>
      </w:tr>
      <w:tr>
        <w:tc>
          <w:tcPr/>
          <w:p>
            <w:pPr>
              <w:pStyle w:val="Compact"/>
            </w:pPr>
            <w:r>
              <w:t xml:space="preserve">Adjusted EPS</w:t>
            </w:r>
          </w:p>
        </w:tc>
        <w:tc>
          <w:tcPr/>
          <w:p>
            <w:pPr>
              <w:pStyle w:val="Compact"/>
              <w:jc w:val="right"/>
            </w:pPr>
            <w:r>
              <w:rPr>
                <w:b/>
                <w:bCs/>
              </w:rPr>
              <w:t xml:space="preserve">$2.95</w:t>
            </w:r>
          </w:p>
        </w:tc>
        <w:tc>
          <w:tcPr/>
          <w:p>
            <w:pPr>
              <w:pStyle w:val="Compact"/>
              <w:jc w:val="right"/>
            </w:pPr>
            <w:r>
              <w:t xml:space="preserve">vs. $(0.18)</w:t>
            </w:r>
          </w:p>
        </w:tc>
      </w:tr>
      <w:tr>
        <w:tc>
          <w:tcPr/>
          <w:p>
            <w:pPr>
              <w:pStyle w:val="Compact"/>
            </w:pPr>
            <w:r>
              <w:t xml:space="preserve">Energy Storage sales / EBITDA</w:t>
            </w:r>
          </w:p>
        </w:tc>
        <w:tc>
          <w:tcPr/>
          <w:p>
            <w:pPr>
              <w:pStyle w:val="Compact"/>
              <w:jc w:val="right"/>
            </w:pPr>
            <w:r>
              <w:rPr>
                <w:b/>
                <w:bCs/>
              </w:rPr>
              <w:t xml:space="preserve">$891M / $551M</w:t>
            </w:r>
          </w:p>
        </w:tc>
        <w:tc>
          <w:tcPr/>
          <w:p>
            <w:pPr>
              <w:pStyle w:val="Compact"/>
              <w:jc w:val="right"/>
            </w:pPr>
            <w:r>
              <w:t xml:space="preserve">+70% / +196%</w:t>
            </w:r>
          </w:p>
        </w:tc>
      </w:tr>
      <w:tr>
        <w:tc>
          <w:tcPr/>
          <w:p>
            <w:pPr>
              <w:pStyle w:val="Compact"/>
            </w:pPr>
            <w:r>
              <w:t xml:space="preserve">Specialties sales / EBITDA</w:t>
            </w:r>
          </w:p>
        </w:tc>
        <w:tc>
          <w:tcPr/>
          <w:p>
            <w:pPr>
              <w:pStyle w:val="Compact"/>
              <w:jc w:val="right"/>
            </w:pPr>
            <w:r>
              <w:rPr>
                <w:b/>
                <w:bCs/>
              </w:rPr>
              <w:t xml:space="preserve">$358M / $76M</w:t>
            </w:r>
          </w:p>
        </w:tc>
        <w:tc>
          <w:tcPr/>
          <w:p>
            <w:pPr>
              <w:pStyle w:val="Compact"/>
              <w:jc w:val="right"/>
            </w:pPr>
            <w:r>
              <w:t xml:space="preserve">+12% / +30%</w:t>
            </w:r>
          </w:p>
        </w:tc>
      </w:tr>
      <w:tr>
        <w:tc>
          <w:tcPr/>
          <w:p>
            <w:pPr>
              <w:pStyle w:val="Compact"/>
            </w:pPr>
            <w:r>
              <w:t xml:space="preserve">Free cash flow</w:t>
            </w:r>
          </w:p>
        </w:tc>
        <w:tc>
          <w:tcPr/>
          <w:p>
            <w:pPr>
              <w:pStyle w:val="Compact"/>
              <w:jc w:val="right"/>
            </w:pPr>
            <w:r>
              <w:rPr>
                <w:b/>
                <w:bCs/>
              </w:rPr>
              <w:t xml:space="preserve">$248M</w:t>
            </w:r>
          </w:p>
        </w:tc>
        <w:tc>
          <w:tcPr/>
          <w:p>
            <w:pPr>
              <w:pStyle w:val="Compact"/>
              <w:jc w:val="right"/>
            </w:pPr>
            <w:r>
              <w:t xml:space="preserve">—</w:t>
            </w:r>
          </w:p>
        </w:tc>
      </w:tr>
    </w:tbl>
    <w:p>
      <w:pPr>
        <w:pStyle w:val="BodyText"/>
      </w:pPr>
      <w:r>
        <w:t xml:space="preserve">The main 2Q message from the May call was constructive:</w:t>
      </w:r>
    </w:p>
    <w:p>
      <w:pPr>
        <w:pStyle w:val="Compact"/>
        <w:numPr>
          <w:ilvl w:val="0"/>
          <w:numId w:val="1001"/>
        </w:numPr>
      </w:pPr>
      <w:r>
        <w:rPr>
          <w:b/>
          <w:bCs/>
        </w:rPr>
        <w:t xml:space="preserve">Energy Storage:</w:t>
      </w:r>
      <w:r>
        <w:t xml:space="preserve"> </w:t>
      </w:r>
      <w:r>
        <w:t xml:space="preserve">sales and EBITDA were expected to rise sequentially, reflecting higher sales volumes and price catch-up in long-term contracts.</w:t>
      </w:r>
    </w:p>
    <w:p>
      <w:pPr>
        <w:pStyle w:val="Compact"/>
        <w:numPr>
          <w:ilvl w:val="0"/>
          <w:numId w:val="1001"/>
        </w:numPr>
      </w:pPr>
      <w:r>
        <w:rPr>
          <w:b/>
          <w:bCs/>
        </w:rPr>
        <w:t xml:space="preserve">Specialties:</w:t>
      </w:r>
      <w:r>
        <w:t xml:space="preserve"> </w:t>
      </w:r>
      <w:r>
        <w:t xml:space="preserve">sales were expected to rise sequentially on stronger bromine-specialty pricing; EBITDA was expected to increase modestly.</w:t>
      </w:r>
    </w:p>
    <w:p>
      <w:pPr>
        <w:pStyle w:val="Compact"/>
        <w:numPr>
          <w:ilvl w:val="0"/>
          <w:numId w:val="1001"/>
        </w:numPr>
      </w:pPr>
      <w:r>
        <w:rPr>
          <w:b/>
          <w:bCs/>
        </w:rPr>
        <w:t xml:space="preserve">Caveat:</w:t>
      </w:r>
      <w:r>
        <w:t xml:space="preserve"> </w:t>
      </w:r>
      <w:r>
        <w:t xml:space="preserve">Energy Storage EBITDA margin was expected to decline sequentially because 1Q benefited from favorable spodumene-inventory timing, while 2Q would absorb higher logistics and supply-chain costs.</w:t>
      </w:r>
    </w:p>
    <w:p>
      <w:pPr>
        <w:pStyle w:val="FirstParagraph"/>
      </w:pPr>
      <w:r>
        <w:t xml:space="preserve">That means the most important result is likely</w:t>
      </w:r>
      <w:r>
        <w:t xml:space="preserve"> </w:t>
      </w:r>
      <w:r>
        <w:rPr>
          <w:b/>
          <w:bCs/>
        </w:rPr>
        <w:t xml:space="preserve">not</w:t>
      </w:r>
      <w:r>
        <w:t xml:space="preserve"> </w:t>
      </w:r>
      <w:r>
        <w:t xml:space="preserve">the reported EBITDA dollar figure in isolation. Investors should judge whether revenue, realized prices, volumes, and margin behavior support the company’s full-year earnings scenarios.</w:t>
      </w:r>
    </w:p>
    <w:bookmarkEnd w:id="11"/>
    <w:bookmarkStart w:id="17" w:name="what-matters-most-this-quarter"/>
    <w:p>
      <w:pPr>
        <w:pStyle w:val="Heading2"/>
      </w:pPr>
      <w:r>
        <w:t xml:space="preserve">What matters most this quarter</w:t>
      </w:r>
    </w:p>
    <w:bookmarkStart w:id="12" w:name="X63568ea7bb925b29c656165f07607e634d7ecd3"/>
    <w:p>
      <w:pPr>
        <w:pStyle w:val="Heading3"/>
      </w:pPr>
      <w:r>
        <w:t xml:space="preserve">1. Lithium realization and the price lag</w:t>
      </w:r>
    </w:p>
    <w:p>
      <w:pPr>
        <w:pStyle w:val="FirstParagraph"/>
      </w:pPr>
      <w:r>
        <w:t xml:space="preserve">In 1Q, Energy Storage realized pricing was approximately</w:t>
      </w:r>
      <w:r>
        <w:t xml:space="preserve"> </w:t>
      </w:r>
      <m:oMath>
        <m:r>
          <m:t>17</m:t>
        </m:r>
        <m:r>
          <m:rPr>
            <m:sty m:val="p"/>
          </m:rPr>
          <m:t>/</m:t>
        </m:r>
        <m:r>
          <m:t>k</m:t>
        </m:r>
        <m:r>
          <m:t>g</m:t>
        </m:r>
        <m:r>
          <m:t>L</m:t>
        </m:r>
        <m:r>
          <m:t>C</m:t>
        </m:r>
        <m:r>
          <m:t>E</m:t>
        </m:r>
        <m:r>
          <m:rPr>
            <m:sty m:val="p"/>
          </m:rPr>
          <m:t>*</m:t>
        </m:r>
        <m:r>
          <m:rPr>
            <m:sty m:val="p"/>
          </m:rPr>
          <m:t>*</m:t>
        </m:r>
        <m:r>
          <m:rPr>
            <m:sty m:val="p"/>
          </m:rPr>
          <m:t>,</m:t>
        </m:r>
        <m:r>
          <m:t>v</m:t>
        </m:r>
        <m:r>
          <m:t>e</m:t>
        </m:r>
        <m:r>
          <m:t>r</m:t>
        </m:r>
        <m:r>
          <m:t>s</m:t>
        </m:r>
        <m:r>
          <m:t>u</m:t>
        </m:r>
        <m:r>
          <m:t>s</m:t>
        </m:r>
        <m:r>
          <m:t>m</m:t>
        </m:r>
        <m:r>
          <m:t>a</m:t>
        </m:r>
        <m:r>
          <m:t>n</m:t>
        </m:r>
        <m:r>
          <m:t>a</m:t>
        </m:r>
        <m:r>
          <m:t>g</m:t>
        </m:r>
        <m:r>
          <m:t>e</m:t>
        </m:r>
        <m:r>
          <m:t>m</m:t>
        </m:r>
        <m:r>
          <m:t>e</m:t>
        </m:r>
        <m:r>
          <m:t>n</m:t>
        </m:r>
        <m:r>
          <m:t>t</m:t>
        </m:r>
        <m:r>
          <m:rPr>
            <m:sty m:val="p"/>
          </m:rPr>
          <m:t>’</m:t>
        </m:r>
        <m:r>
          <m:t>s</m:t>
        </m:r>
        <m:r>
          <m:t>c</m:t>
        </m:r>
        <m:r>
          <m:t>i</m:t>
        </m:r>
        <m:r>
          <m:t>t</m:t>
        </m:r>
        <m:r>
          <m:t>e</m:t>
        </m:r>
        <m:r>
          <m:t>d</m:t>
        </m:r>
        <m:r>
          <m:t>r</m:t>
        </m:r>
        <m:r>
          <m:t>o</m:t>
        </m:r>
        <m:r>
          <m:t>u</m:t>
        </m:r>
        <m:r>
          <m:t>g</m:t>
        </m:r>
        <m:r>
          <m:t>h</m:t>
        </m:r>
        <m:r>
          <m:t>l</m:t>
        </m:r>
        <m:r>
          <m:t>y</m:t>
        </m:r>
        <m:r>
          <m:rPr>
            <m:sty m:val="p"/>
          </m:rPr>
          <m:t>*</m:t>
        </m:r>
        <m:r>
          <m:rPr>
            <m:sty m:val="p"/>
          </m:rPr>
          <m:t>*</m:t>
        </m:r>
      </m:oMath>
      <w:r>
        <w:rPr>
          <w:b/>
          <w:bCs/>
        </w:rPr>
        <w:t xml:space="preserve">20/kg average market-price scenario</w:t>
      </w:r>
      <w:r>
        <w:t xml:space="preserve">. The gap reflected two factors:</w:t>
      </w:r>
    </w:p>
    <w:p>
      <w:pPr>
        <w:pStyle w:val="Compact"/>
        <w:numPr>
          <w:ilvl w:val="0"/>
          <w:numId w:val="1002"/>
        </w:numPr>
      </w:pPr>
      <w:r>
        <w:t xml:space="preserve">A typical</w:t>
      </w:r>
      <w:r>
        <w:t xml:space="preserve"> </w:t>
      </w:r>
      <w:r>
        <w:rPr>
          <w:b/>
          <w:bCs/>
        </w:rPr>
        <w:t xml:space="preserve">one-quarter lag</w:t>
      </w:r>
      <w:r>
        <w:t xml:space="preserve"> </w:t>
      </w:r>
      <w:r>
        <w:t xml:space="preserve">in long-term contract pricing; and</w:t>
      </w:r>
    </w:p>
    <w:p>
      <w:pPr>
        <w:pStyle w:val="Compact"/>
        <w:numPr>
          <w:ilvl w:val="0"/>
          <w:numId w:val="1002"/>
        </w:numPr>
      </w:pPr>
      <w:r>
        <w:t xml:space="preserve">Spodumene sales, which lower the reported blended LCE realization.</w:t>
      </w:r>
    </w:p>
    <w:p>
      <w:pPr>
        <w:pStyle w:val="FirstParagraph"/>
      </w:pPr>
      <w:r>
        <w:t xml:space="preserve">With about</w:t>
      </w:r>
      <w:r>
        <w:t xml:space="preserve"> </w:t>
      </w:r>
      <w:r>
        <w:rPr>
          <w:b/>
          <w:bCs/>
        </w:rPr>
        <w:t xml:space="preserve">40% of salts volume</w:t>
      </w:r>
      <w:r>
        <w:t xml:space="preserve"> </w:t>
      </w:r>
      <w:r>
        <w:t xml:space="preserve">under long-term agreements, 2Q should capture a larger share of the prior increase in market prices if those prices held. This is the central earnings bridge.</w:t>
      </w:r>
    </w:p>
    <w:p>
      <w:pPr>
        <w:pStyle w:val="BodyText"/>
      </w:pPr>
      <w:r>
        <w:rPr>
          <w:b/>
          <w:bCs/>
        </w:rPr>
        <w:t xml:space="preserve">Bullish read-through:</w:t>
      </w:r>
      <w:r>
        <w:t xml:space="preserve"> </w:t>
      </w:r>
      <w:r>
        <w:t xml:space="preserve">a clear step-up in realized price and Energy Storage revenue, with commentary that realized-price catch-up continues into 3Q.</w:t>
      </w:r>
    </w:p>
    <w:p>
      <w:pPr>
        <w:pStyle w:val="BodyText"/>
      </w:pPr>
      <w:r>
        <w:rPr>
          <w:b/>
          <w:bCs/>
        </w:rPr>
        <w:t xml:space="preserve">Bearish read-through:</w:t>
      </w:r>
      <w:r>
        <w:t xml:space="preserve"> </w:t>
      </w:r>
      <w:r>
        <w:t xml:space="preserve">weak realization despite the contractual lag, lower-quality product mix, or evidence that customers are resisting price pass-through.</w:t>
      </w:r>
    </w:p>
    <w:bookmarkEnd w:id="12"/>
    <w:bookmarkStart w:id="13" w:name="X5f6cdb01c0dd802c775578560cd3fb2502edd64"/>
    <w:p>
      <w:pPr>
        <w:pStyle w:val="Heading3"/>
      </w:pPr>
      <w:r>
        <w:t xml:space="preserve">2. Energy Storage volumes—and whether supply is the constraint</w:t>
      </w:r>
    </w:p>
    <w:p>
      <w:pPr>
        <w:pStyle w:val="FirstParagraph"/>
      </w:pPr>
      <w:r>
        <w:t xml:space="preserve">Management reported</w:t>
      </w:r>
      <w:r>
        <w:t xml:space="preserve"> </w:t>
      </w:r>
      <w:r>
        <w:rPr>
          <w:b/>
          <w:bCs/>
        </w:rPr>
        <w:t xml:space="preserve">53kt LCE</w:t>
      </w:r>
      <w:r>
        <w:t xml:space="preserve"> </w:t>
      </w:r>
      <w:r>
        <w:t xml:space="preserve">of Energy Storage sales volumes in 1Q and said volumes should improve during 2Q and 3Q. Yet full-year sales volume guidance remained approximately flat because 2025 included inventory drawdowns and the comparison becomes tougher later in the year.</w:t>
      </w:r>
    </w:p>
    <w:p>
      <w:pPr>
        <w:pStyle w:val="BodyText"/>
      </w:pPr>
      <w:r>
        <w:t xml:space="preserve">The demand signal was not management’s concern. The company described customer order books as full into early 2027, particularly for stationary energy storage. The constraint is operational availability and ramp execution:</w:t>
      </w:r>
    </w:p>
    <w:p>
      <w:pPr>
        <w:pStyle w:val="Compact"/>
        <w:numPr>
          <w:ilvl w:val="0"/>
          <w:numId w:val="1003"/>
        </w:numPr>
      </w:pPr>
      <w:r>
        <w:rPr>
          <w:b/>
          <w:bCs/>
        </w:rPr>
        <w:t xml:space="preserve">Greenbushes CGP3:</w:t>
      </w:r>
      <w:r>
        <w:t xml:space="preserve"> </w:t>
      </w:r>
      <w:r>
        <w:t xml:space="preserve">management said the ramp was on schedule and should reach full capacity by year-end.</w:t>
      </w:r>
    </w:p>
    <w:p>
      <w:pPr>
        <w:pStyle w:val="Compact"/>
        <w:numPr>
          <w:ilvl w:val="0"/>
          <w:numId w:val="1003"/>
        </w:numPr>
      </w:pPr>
      <w:r>
        <w:rPr>
          <w:b/>
          <w:bCs/>
        </w:rPr>
        <w:t xml:space="preserve">Wodgina:</w:t>
      </w:r>
      <w:r>
        <w:t xml:space="preserve"> </w:t>
      </w:r>
      <w:r>
        <w:t xml:space="preserve">all three trains have a path to full utilization, but ore quality was expected to soften through the middle of the year before improving in 4Q.</w:t>
      </w:r>
    </w:p>
    <w:p>
      <w:pPr>
        <w:pStyle w:val="Compact"/>
        <w:numPr>
          <w:ilvl w:val="0"/>
          <w:numId w:val="1003"/>
        </w:numPr>
      </w:pPr>
      <w:r>
        <w:rPr>
          <w:b/>
          <w:bCs/>
        </w:rPr>
        <w:t xml:space="preserve">Kemerton Train 1:</w:t>
      </w:r>
      <w:r>
        <w:t xml:space="preserve"> </w:t>
      </w:r>
      <w:r>
        <w:t xml:space="preserve">placed into care and maintenance, creating idling costs.</w:t>
      </w:r>
    </w:p>
    <w:p>
      <w:pPr>
        <w:pStyle w:val="FirstParagraph"/>
      </w:pPr>
      <w:r>
        <w:t xml:space="preserve">Investors should listen for a precise update on 2H volume cadence and whether management is still comfortable with its full-year flat-volume assumption.</w:t>
      </w:r>
    </w:p>
    <w:bookmarkEnd w:id="13"/>
    <w:bookmarkStart w:id="14" w:name="X8901fb1d64d4f3fdeb6e2d0e05d14de4f2d019d"/>
    <w:p>
      <w:pPr>
        <w:pStyle w:val="Heading3"/>
      </w:pPr>
      <w:r>
        <w:t xml:space="preserve">3. Energy Storage margin normalization</w:t>
      </w:r>
    </w:p>
    <w:p>
      <w:pPr>
        <w:pStyle w:val="FirstParagraph"/>
      </w:pPr>
      <w:r>
        <w:t xml:space="preserve">Energy Storage produced an exceptional</w:t>
      </w:r>
      <w:r>
        <w:t xml:space="preserve"> </w:t>
      </w:r>
      <w:r>
        <w:rPr>
          <w:b/>
          <w:bCs/>
        </w:rPr>
        <w:t xml:space="preserve">61.9% adjusted EBITDA margin</w:t>
      </w:r>
      <w:r>
        <w:t xml:space="preserve"> </w:t>
      </w:r>
      <w:r>
        <w:t xml:space="preserve">in 1Q. That was helped by lithium pricing, cost savings, and favorable timing on consumption of lower-cost spodumene inventory.</w:t>
      </w:r>
    </w:p>
    <w:p>
      <w:pPr>
        <w:pStyle w:val="BodyText"/>
      </w:pPr>
      <w:r>
        <w:t xml:space="preserve">Management warned that 2Q margin should be lower sequentially—even if EBITDA rises—because of:</w:t>
      </w:r>
    </w:p>
    <w:p>
      <w:pPr>
        <w:pStyle w:val="Compact"/>
        <w:numPr>
          <w:ilvl w:val="0"/>
          <w:numId w:val="1004"/>
        </w:numPr>
      </w:pPr>
      <w:r>
        <w:t xml:space="preserve">less favorable spodumene-cost timing;</w:t>
      </w:r>
    </w:p>
    <w:p>
      <w:pPr>
        <w:pStyle w:val="Compact"/>
        <w:numPr>
          <w:ilvl w:val="0"/>
          <w:numId w:val="1004"/>
        </w:numPr>
      </w:pPr>
      <w:r>
        <w:t xml:space="preserve">elevated sulfuric-acid, freight, and other supply-chain costs;</w:t>
      </w:r>
    </w:p>
    <w:p>
      <w:pPr>
        <w:pStyle w:val="Compact"/>
        <w:numPr>
          <w:ilvl w:val="0"/>
          <w:numId w:val="1004"/>
        </w:numPr>
      </w:pPr>
      <w:r>
        <w:t xml:space="preserve">Middle East-related disruptions.</w:t>
      </w:r>
    </w:p>
    <w:p>
      <w:pPr>
        <w:pStyle w:val="FirstParagraph"/>
      </w:pPr>
      <w:r>
        <w:t xml:space="preserve">A modest margin decline is therefore expected and should not automatically be read as a miss. The real concern would be a sharper-than-telegraphed decline, particularly if it is paired with weak volumes or delayed contractual price realization.</w:t>
      </w:r>
    </w:p>
    <w:bookmarkEnd w:id="14"/>
    <w:bookmarkStart w:id="15" w:name="X84326f62545493fcc3b4e554fd03aaaea4e3321"/>
    <w:p>
      <w:pPr>
        <w:pStyle w:val="Heading3"/>
      </w:pPr>
      <w:r>
        <w:t xml:space="preserve">4. Can Specialties sustain its unexpectedly strong start?</w:t>
      </w:r>
    </w:p>
    <w:p>
      <w:pPr>
        <w:pStyle w:val="FirstParagraph"/>
      </w:pPr>
      <w:r>
        <w:t xml:space="preserve">Specialties is an important earnings stabilizer. Albemarle raised its 2026 outlook in May to:</w:t>
      </w:r>
    </w:p>
    <w:p>
      <w:pPr>
        <w:pStyle w:val="Compact"/>
        <w:numPr>
          <w:ilvl w:val="0"/>
          <w:numId w:val="1005"/>
        </w:numPr>
      </w:pPr>
      <w:r>
        <w:rPr>
          <w:b/>
          <w:bCs/>
        </w:rPr>
        <w:t xml:space="preserve">Sales:</w:t>
      </w:r>
      <w:r>
        <w:t xml:space="preserve"> </w:t>
      </w:r>
      <m:oMath>
        <m:r>
          <m:t>1.3</m:t>
        </m:r>
        <m:r>
          <m:t>B</m:t>
        </m:r>
        <m:r>
          <m:rPr>
            <m:sty m:val="p"/>
          </m:rPr>
          <m:t>–</m:t>
        </m:r>
      </m:oMath>
      <w:r>
        <w:t xml:space="preserve">1.5B</w:t>
      </w:r>
    </w:p>
    <w:p>
      <w:pPr>
        <w:pStyle w:val="Compact"/>
        <w:numPr>
          <w:ilvl w:val="0"/>
          <w:numId w:val="1005"/>
        </w:numPr>
      </w:pPr>
      <w:r>
        <w:rPr>
          <w:b/>
          <w:bCs/>
        </w:rPr>
        <w:t xml:space="preserve">Adjusted EBITDA:</w:t>
      </w:r>
      <w:r>
        <w:t xml:space="preserve"> </w:t>
      </w:r>
      <m:oMath>
        <m:r>
          <m:t>225</m:t>
        </m:r>
        <m:r>
          <m:t>M</m:t>
        </m:r>
        <m:r>
          <m:rPr>
            <m:sty m:val="p"/>
          </m:rPr>
          <m:t>–</m:t>
        </m:r>
      </m:oMath>
      <w:r>
        <w:t xml:space="preserve">275M</w:t>
      </w:r>
    </w:p>
    <w:p>
      <w:pPr>
        <w:pStyle w:val="FirstParagraph"/>
      </w:pPr>
      <w:r>
        <w:t xml:space="preserve">The upgrade reflected better bromine pricing and mix, plus operational improvements. Q2 is expected to show higher sales and modestly higher EBITDA versus the</w:t>
      </w:r>
      <w:r>
        <w:t xml:space="preserve"> </w:t>
      </w:r>
      <w:r>
        <w:rPr>
          <w:b/>
          <w:bCs/>
        </w:rPr>
        <w:t xml:space="preserve">$76M</w:t>
      </w:r>
      <w:r>
        <w:t xml:space="preserve"> </w:t>
      </w:r>
      <w:r>
        <w:t xml:space="preserve">generated in 1Q.</w:t>
      </w:r>
    </w:p>
    <w:p>
      <w:pPr>
        <w:pStyle w:val="BodyText"/>
      </w:pPr>
      <w:r>
        <w:t xml:space="preserve">But management also stressed that the strongest visible Chinese bromine index is not a clean proxy for segment profitability:</w:t>
      </w:r>
      <w:r>
        <w:t xml:space="preserve"> </w:t>
      </w:r>
      <w:r>
        <w:rPr>
          <w:b/>
          <w:bCs/>
        </w:rPr>
        <w:t xml:space="preserve">20% or less</w:t>
      </w:r>
      <w:r>
        <w:t xml:space="preserve"> </w:t>
      </w:r>
      <w:r>
        <w:t xml:space="preserve">of Specialties sales are exposed to that type of indexed pricing, and Chinese spot prices had begun to ease. Therefore, investors should focus on management’s outlook for the second half, not simply the quarterly result.</w:t>
      </w:r>
    </w:p>
    <w:p>
      <w:pPr>
        <w:pStyle w:val="BodyText"/>
      </w:pPr>
      <w:r>
        <w:t xml:space="preserve">Specific questions:</w:t>
      </w:r>
    </w:p>
    <w:p>
      <w:pPr>
        <w:pStyle w:val="Compact"/>
        <w:numPr>
          <w:ilvl w:val="0"/>
          <w:numId w:val="1006"/>
        </w:numPr>
      </w:pPr>
      <w:r>
        <w:t xml:space="preserve">Is the Jordan Bromine Company continuing to operate normally?</w:t>
      </w:r>
    </w:p>
    <w:p>
      <w:pPr>
        <w:pStyle w:val="Compact"/>
        <w:numPr>
          <w:ilvl w:val="0"/>
          <w:numId w:val="1006"/>
        </w:numPr>
      </w:pPr>
      <w:r>
        <w:t xml:space="preserve">Are higher prices holding outside China?</w:t>
      </w:r>
    </w:p>
    <w:p>
      <w:pPr>
        <w:pStyle w:val="Compact"/>
        <w:numPr>
          <w:ilvl w:val="0"/>
          <w:numId w:val="1006"/>
        </w:numPr>
      </w:pPr>
      <w:r>
        <w:t xml:space="preserve">Does the company maintain, raise, or qualify the</w:t>
      </w:r>
      <w:r>
        <w:t xml:space="preserve"> </w:t>
      </w:r>
      <m:oMath>
        <m:r>
          <m:t>225</m:t>
        </m:r>
        <m:r>
          <m:t>M</m:t>
        </m:r>
        <m:r>
          <m:rPr>
            <m:sty m:val="p"/>
          </m:rPr>
          <m:t>–</m:t>
        </m:r>
      </m:oMath>
      <w:r>
        <w:t xml:space="preserve">275M EBITDA range?</w:t>
      </w:r>
    </w:p>
    <w:p>
      <w:pPr>
        <w:pStyle w:val="Compact"/>
        <w:numPr>
          <w:ilvl w:val="0"/>
          <w:numId w:val="1006"/>
        </w:numPr>
      </w:pPr>
      <w:r>
        <w:t xml:space="preserve">Are Middle East disruptions creating net costs, demand disruption, or an opportunity for Albemarle’s diversified supply base?</w:t>
      </w:r>
    </w:p>
    <w:bookmarkEnd w:id="15"/>
    <w:bookmarkStart w:id="16" w:name="X385ccbcb779bbb0faa105de9eb03be2fafe6cff"/>
    <w:p>
      <w:pPr>
        <w:pStyle w:val="Heading3"/>
      </w:pPr>
      <w:r>
        <w:t xml:space="preserve">5. Guidance: the market’s likely decisive variable</w:t>
      </w:r>
    </w:p>
    <w:p>
      <w:pPr>
        <w:pStyle w:val="FirstParagraph"/>
      </w:pPr>
      <w:r>
        <w:t xml:space="preserve">Albemarle’s full-year framework remains explicitly tied to lithium-price scenarios: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Assumed average lithium market price</w:t>
            </w:r>
          </w:p>
        </w:tc>
        <w:tc>
          <w:tcPr/>
          <w:p>
            <w:pPr>
              <w:pStyle w:val="Compact"/>
              <w:jc w:val="right"/>
            </w:pPr>
            <w:r>
              <w:t xml:space="preserve">FY26 sales</w:t>
            </w:r>
          </w:p>
        </w:tc>
        <w:tc>
          <w:tcPr/>
          <w:p>
            <w:pPr>
              <w:pStyle w:val="Compact"/>
              <w:jc w:val="right"/>
            </w:pPr>
            <w:r>
              <w:t xml:space="preserve">FY26 adjusted EBITDA</w:t>
            </w:r>
          </w:p>
        </w:tc>
      </w:tr>
      <w:tr>
        <w:tc>
          <w:tcPr/>
          <w:p>
            <w:pPr>
              <w:pStyle w:val="Compact"/>
            </w:pPr>
            <w:r>
              <w:t xml:space="preserve">~$10/kg LCE</w:t>
            </w:r>
          </w:p>
        </w:tc>
        <w:tc>
          <w:tcPr/>
          <w:p>
            <w:pPr>
              <w:pStyle w:val="Compact"/>
              <w:jc w:val="right"/>
            </w:pPr>
            <m:oMath>
              <m:r>
                <m:t>4.1</m:t>
              </m:r>
              <m:r>
                <m:t>B</m:t>
              </m:r>
              <m:r>
                <m:rPr>
                  <m:sty m:val="p"/>
                </m:rPr>
                <m:t>–</m:t>
              </m:r>
            </m:oMath>
            <w:r>
              <w:t xml:space="preserve">4.3B</w:t>
            </w:r>
          </w:p>
        </w:tc>
        <w:tc>
          <w:tcPr/>
          <w:p>
            <w:pPr>
              <w:pStyle w:val="Compact"/>
              <w:jc w:val="right"/>
            </w:pPr>
            <m:oMath>
              <m:r>
                <m:t>0.9</m:t>
              </m:r>
              <m:r>
                <m:t>B</m:t>
              </m:r>
              <m:r>
                <m:rPr>
                  <m:sty m:val="p"/>
                </m:rPr>
                <m:t>–</m:t>
              </m:r>
            </m:oMath>
            <w:r>
              <w:t xml:space="preserve">1.0B</w:t>
            </w:r>
          </w:p>
        </w:tc>
      </w:tr>
      <w:tr>
        <w:tc>
          <w:tcPr/>
          <w:p>
            <w:pPr>
              <w:pStyle w:val="Compact"/>
            </w:pPr>
            <w:r>
              <w:t xml:space="preserve">~$20/kg LCE</w:t>
            </w:r>
          </w:p>
        </w:tc>
        <w:tc>
          <w:tcPr/>
          <w:p>
            <w:pPr>
              <w:pStyle w:val="Compact"/>
              <w:jc w:val="right"/>
            </w:pPr>
            <m:oMath>
              <m:r>
                <m:t>5.7</m:t>
              </m:r>
              <m:r>
                <m:t>B</m:t>
              </m:r>
              <m:r>
                <m:rPr>
                  <m:sty m:val="p"/>
                </m:rPr>
                <m:t>–</m:t>
              </m:r>
            </m:oMath>
            <w:r>
              <w:t xml:space="preserve">6.0B</w:t>
            </w:r>
          </w:p>
        </w:tc>
        <w:tc>
          <w:tcPr/>
          <w:p>
            <w:pPr>
              <w:pStyle w:val="Compact"/>
              <w:jc w:val="right"/>
            </w:pPr>
            <m:oMath>
              <m:r>
                <m:t>2.4</m:t>
              </m:r>
              <m:r>
                <m:t>B</m:t>
              </m:r>
              <m:r>
                <m:rPr>
                  <m:sty m:val="p"/>
                </m:rPr>
                <m:t>–</m:t>
              </m:r>
            </m:oMath>
            <w:r>
              <w:t xml:space="preserve">2.6B</w:t>
            </w:r>
          </w:p>
        </w:tc>
      </w:tr>
      <w:tr>
        <w:tc>
          <w:tcPr/>
          <w:p>
            <w:pPr>
              <w:pStyle w:val="Compact"/>
            </w:pPr>
            <w:r>
              <w:t xml:space="preserve">~$30/kg LCE</w:t>
            </w:r>
          </w:p>
        </w:tc>
        <w:tc>
          <w:tcPr/>
          <w:p>
            <w:pPr>
              <w:pStyle w:val="Compact"/>
              <w:jc w:val="right"/>
            </w:pPr>
            <m:oMath>
              <m:r>
                <m:t>7.5</m:t>
              </m:r>
              <m:r>
                <m:t>B</m:t>
              </m:r>
              <m:r>
                <m:rPr>
                  <m:sty m:val="p"/>
                </m:rPr>
                <m:t>–</m:t>
              </m:r>
            </m:oMath>
            <w:r>
              <w:t xml:space="preserve">7.8B</w:t>
            </w:r>
          </w:p>
        </w:tc>
        <w:tc>
          <w:tcPr/>
          <w:p>
            <w:pPr>
              <w:pStyle w:val="Compact"/>
              <w:jc w:val="right"/>
            </w:pPr>
            <m:oMath>
              <m:r>
                <m:t>4.2</m:t>
              </m:r>
              <m:r>
                <m:t>B</m:t>
              </m:r>
              <m:r>
                <m:rPr>
                  <m:sty m:val="p"/>
                </m:rPr>
                <m:t>–</m:t>
              </m:r>
            </m:oMath>
            <w:r>
              <w:t xml:space="preserve">4.4B</w:t>
            </w:r>
          </w:p>
        </w:tc>
      </w:tr>
    </w:tbl>
    <w:p>
      <w:pPr>
        <w:pStyle w:val="BodyText"/>
      </w:pPr>
      <w:r>
        <w:t xml:space="preserve">At 1Q, management held those ranges despite estimating a</w:t>
      </w:r>
      <w:r>
        <w:t xml:space="preserve"> </w:t>
      </w:r>
      <m:oMath>
        <m:r>
          <m:t>70</m:t>
        </m:r>
        <m:r>
          <m:t>M</m:t>
        </m:r>
        <m:r>
          <m:rPr>
            <m:sty m:val="p"/>
          </m:rPr>
          <m:t>–</m:t>
        </m:r>
      </m:oMath>
      <w:r>
        <w:rPr>
          <w:b/>
          <w:bCs/>
        </w:rPr>
        <w:t xml:space="preserve">90M</w:t>
      </w:r>
      <w:r>
        <w:t xml:space="preserve"> </w:t>
      </w:r>
      <w:r>
        <w:t xml:space="preserve">unmitigated annual supply-chain cost headwind. The offsets were expected to come from lower interest expense after debt reduction and stronger Specialties performance.</w:t>
      </w:r>
    </w:p>
    <w:p>
      <w:pPr>
        <w:pStyle w:val="BodyText"/>
      </w:pPr>
      <w:r>
        <w:t xml:space="preserve">The key question for 2Q is whether that offset thesis is still working. A maintained framework would be constructive; any negative adjustment would imply that cost inflation, operating availability, or lithium-price realization is overwhelming the favorable pricing backdrop.</w:t>
      </w:r>
    </w:p>
    <w:bookmarkEnd w:id="16"/>
    <w:bookmarkEnd w:id="17"/>
    <w:bookmarkStart w:id="18" w:name="Xc30bc4d57a94d741f51a9163009022dd3290767"/>
    <w:p>
      <w:pPr>
        <w:pStyle w:val="Heading2"/>
      </w:pPr>
      <w:r>
        <w:t xml:space="preserve">Cash flow and balance sheet: an underappreciated part of the setup</w:t>
      </w:r>
    </w:p>
    <w:p>
      <w:pPr>
        <w:pStyle w:val="FirstParagraph"/>
      </w:pPr>
      <w:r>
        <w:t xml:space="preserve">The balance sheet is meaningfully better than a year ago:</w:t>
      </w:r>
    </w:p>
    <w:p>
      <w:pPr>
        <w:pStyle w:val="Compact"/>
        <w:numPr>
          <w:ilvl w:val="0"/>
          <w:numId w:val="1007"/>
        </w:numPr>
      </w:pPr>
      <w:r>
        <w:t xml:space="preserve">Albemarle paid down</w:t>
      </w:r>
      <w:r>
        <w:t xml:space="preserve"> </w:t>
      </w:r>
      <w:r>
        <w:rPr>
          <w:b/>
          <w:bCs/>
        </w:rPr>
        <w:t xml:space="preserve">$1.3B of debt</w:t>
      </w:r>
      <w:r>
        <w:t xml:space="preserve"> </w:t>
      </w:r>
      <w:r>
        <w:t xml:space="preserve">in 1Q.</w:t>
      </w:r>
    </w:p>
    <w:p>
      <w:pPr>
        <w:pStyle w:val="Compact"/>
        <w:numPr>
          <w:ilvl w:val="0"/>
          <w:numId w:val="1007"/>
        </w:numPr>
      </w:pPr>
      <w:r>
        <w:t xml:space="preserve">It ended March with roughly</w:t>
      </w:r>
      <w:r>
        <w:t xml:space="preserve"> </w:t>
      </w:r>
      <m:oMath>
        <m:r>
          <m:t>2.7</m:t>
        </m:r>
        <m:r>
          <m:t>B</m:t>
        </m:r>
        <m:r>
          <m:t>o</m:t>
        </m:r>
        <m:r>
          <m:t>f</m:t>
        </m:r>
        <m:r>
          <m:t>l</m:t>
        </m:r>
        <m:r>
          <m:t>i</m:t>
        </m:r>
        <m:r>
          <m:t>q</m:t>
        </m:r>
        <m:r>
          <m:t>u</m:t>
        </m:r>
        <m:r>
          <m:t>i</m:t>
        </m:r>
        <m:r>
          <m:t>d</m:t>
        </m:r>
        <m:r>
          <m:t>i</m:t>
        </m:r>
        <m:r>
          <m:t>t</m:t>
        </m:r>
        <m:r>
          <m:t>y</m:t>
        </m:r>
        <m:r>
          <m:rPr>
            <m:sty m:val="p"/>
          </m:rPr>
          <m:t>*</m:t>
        </m:r>
        <m:r>
          <m:rPr>
            <m:sty m:val="p"/>
          </m:rPr>
          <m:t>*</m:t>
        </m:r>
        <m:r>
          <m:rPr>
            <m:sty m:val="p"/>
          </m:rPr>
          <m:t>,</m:t>
        </m:r>
        <m:r>
          <m:t>i</m:t>
        </m:r>
        <m:r>
          <m:t>n</m:t>
        </m:r>
        <m:r>
          <m:t>c</m:t>
        </m:r>
        <m:r>
          <m:t>l</m:t>
        </m:r>
        <m:r>
          <m:t>u</m:t>
        </m:r>
        <m:r>
          <m:t>d</m:t>
        </m:r>
        <m:r>
          <m:t>i</m:t>
        </m:r>
        <m:r>
          <m:t>n</m:t>
        </m:r>
        <m:r>
          <m:t>g</m:t>
        </m:r>
        <m:r>
          <m:rPr>
            <m:sty m:val="p"/>
          </m:rPr>
          <m:t>*</m:t>
        </m:r>
        <m:r>
          <m:rPr>
            <m:sty m:val="p"/>
          </m:rPr>
          <m:t>*</m:t>
        </m:r>
      </m:oMath>
      <w:r>
        <w:rPr>
          <w:b/>
          <w:bCs/>
        </w:rPr>
        <w:t xml:space="preserve">1.1B of cash</w:t>
      </w:r>
      <w:r>
        <w:t xml:space="preserve">.</w:t>
      </w:r>
    </w:p>
    <w:p>
      <w:pPr>
        <w:pStyle w:val="Compact"/>
        <w:numPr>
          <w:ilvl w:val="0"/>
          <w:numId w:val="1007"/>
        </w:numPr>
      </w:pPr>
      <w:r>
        <w:t xml:space="preserve">Net debt / EBITDA was approximately</w:t>
      </w:r>
      <w:r>
        <w:t xml:space="preserve"> </w:t>
      </w:r>
      <w:r>
        <w:rPr>
          <w:b/>
          <w:bCs/>
        </w:rPr>
        <w:t xml:space="preserve">1.0x</w:t>
      </w:r>
      <w:r>
        <w:t xml:space="preserve">.</w:t>
      </w:r>
    </w:p>
    <w:p>
      <w:pPr>
        <w:pStyle w:val="Compact"/>
        <w:numPr>
          <w:ilvl w:val="0"/>
          <w:numId w:val="1007"/>
        </w:numPr>
      </w:pPr>
      <w:r>
        <w:t xml:space="preserve">Annual interest expense was expected to fall by about</w:t>
      </w:r>
      <w:r>
        <w:t xml:space="preserve"> </w:t>
      </w:r>
      <w:r>
        <w:rPr>
          <w:b/>
          <w:bCs/>
        </w:rPr>
        <w:t xml:space="preserve">$60M</w:t>
      </w:r>
      <w:r>
        <w:t xml:space="preserve"> </w:t>
      </w:r>
      <w:r>
        <w:t xml:space="preserve">after the debt actions.</w:t>
      </w:r>
    </w:p>
    <w:p>
      <w:pPr>
        <w:pStyle w:val="Compact"/>
        <w:numPr>
          <w:ilvl w:val="0"/>
          <w:numId w:val="1007"/>
        </w:numPr>
      </w:pPr>
      <w:r>
        <w:t xml:space="preserve">2026 CapEx guidance is</w:t>
      </w:r>
      <w:r>
        <w:t xml:space="preserve"> </w:t>
      </w:r>
      <m:oMath>
        <m:r>
          <m:t>550</m:t>
        </m:r>
        <m:r>
          <m:t>M</m:t>
        </m:r>
        <m:r>
          <m:rPr>
            <m:sty m:val="p"/>
          </m:rPr>
          <m:t>–</m:t>
        </m:r>
      </m:oMath>
      <w:r>
        <w:rPr>
          <w:b/>
          <w:bCs/>
        </w:rPr>
        <w:t xml:space="preserve">600M</w:t>
      </w:r>
      <w:r>
        <w:t xml:space="preserve">, versus a much larger investment program in prior years.</w:t>
      </w:r>
    </w:p>
    <w:p>
      <w:pPr>
        <w:pStyle w:val="FirstParagraph"/>
      </w:pPr>
      <w:r>
        <w:t xml:space="preserve">At the ~$20/kg scenario, management targeted operating-cash-flow conversion in its longer-term</w:t>
      </w:r>
      <w:r>
        <w:t xml:space="preserve"> </w:t>
      </w:r>
      <w:r>
        <w:rPr>
          <w:b/>
          <w:bCs/>
        </w:rPr>
        <w:t xml:space="preserve">60%–70%</w:t>
      </w:r>
      <w:r>
        <w:t xml:space="preserve"> </w:t>
      </w:r>
      <w:r>
        <w:t xml:space="preserve">range. However, investors should not expect earnings and free cash flow to move in lockstep: rising lithium prices can consume working capital, and 2026 cash flow faces the non-cash unwind of a prior customer prepayment plus Kemerton idling costs.</w:t>
      </w:r>
    </w:p>
    <w:p>
      <w:pPr>
        <w:pStyle w:val="BodyText"/>
      </w:pPr>
      <w:r>
        <w:rPr>
          <w:b/>
          <w:bCs/>
        </w:rPr>
        <w:t xml:space="preserve">Watch:</w:t>
      </w:r>
      <w:r>
        <w:t xml:space="preserve"> </w:t>
      </w:r>
      <w:r>
        <w:t xml:space="preserve">operating cash flow, inventory, receivables, CapEx, and any update to free-cash-flow conversion rather than focusing solely on adjusted EPS.</w:t>
      </w:r>
    </w:p>
    <w:bookmarkEnd w:id="18"/>
    <w:bookmarkStart w:id="19" w:name="X18fe124f18180502aae0818ba365f20bbd8e5ea"/>
    <w:p>
      <w:pPr>
        <w:pStyle w:val="Heading2"/>
      </w:pPr>
      <w:r>
        <w:t xml:space="preserve">Comparability caution: 2Q25 is not a clean consolidated comparison</w:t>
      </w:r>
    </w:p>
    <w:p>
      <w:pPr>
        <w:pStyle w:val="FirstParagraph"/>
      </w:pPr>
      <w:r>
        <w:t xml:space="preserve">ALB reported 2Q25 sales of</w:t>
      </w:r>
      <w:r>
        <w:t xml:space="preserve"> </w:t>
      </w:r>
      <m:oMath>
        <m:r>
          <m:t>1.33</m:t>
        </m:r>
        <m:r>
          <m:t>B</m:t>
        </m:r>
        <m:r>
          <m:rPr>
            <m:sty m:val="p"/>
          </m:rPr>
          <m:t>*</m:t>
        </m:r>
        <m:r>
          <m:rPr>
            <m:sty m:val="p"/>
          </m:rPr>
          <m:t>*</m:t>
        </m:r>
        <m:r>
          <m:t>a</m:t>
        </m:r>
        <m:r>
          <m:t>n</m:t>
        </m:r>
        <m:r>
          <m:t>d</m:t>
        </m:r>
        <m:r>
          <m:t>a</m:t>
        </m:r>
        <m:r>
          <m:t>d</m:t>
        </m:r>
        <m:r>
          <m:t>j</m:t>
        </m:r>
        <m:r>
          <m:t>u</m:t>
        </m:r>
        <m:r>
          <m:t>s</m:t>
        </m:r>
        <m:r>
          <m:t>t</m:t>
        </m:r>
        <m:r>
          <m:t>e</m:t>
        </m:r>
        <m:r>
          <m:t>d</m:t>
        </m:r>
        <m:r>
          <m:t>E</m:t>
        </m:r>
        <m:r>
          <m:t>B</m:t>
        </m:r>
        <m:r>
          <m:t>I</m:t>
        </m:r>
        <m:r>
          <m:t>T</m:t>
        </m:r>
        <m:r>
          <m:t>D</m:t>
        </m:r>
        <m:r>
          <m:t>A</m:t>
        </m:r>
        <m:r>
          <m:t>o</m:t>
        </m:r>
        <m:r>
          <m:t>f</m:t>
        </m:r>
        <m:r>
          <m:rPr>
            <m:sty m:val="p"/>
          </m:rPr>
          <m:t>*</m:t>
        </m:r>
        <m:r>
          <m:rPr>
            <m:sty m:val="p"/>
          </m:rPr>
          <m:t>*</m:t>
        </m:r>
      </m:oMath>
      <w:r>
        <w:rPr>
          <w:b/>
          <w:bCs/>
        </w:rPr>
        <w:t xml:space="preserve">336M</w:t>
      </w:r>
      <w:r>
        <w:t xml:space="preserve">, including</w:t>
      </w:r>
      <w:r>
        <w:t xml:space="preserve"> </w:t>
      </w:r>
      <w:r>
        <w:rPr>
          <w:b/>
          <w:bCs/>
        </w:rPr>
        <w:t xml:space="preserve">Ketjen</w:t>
      </w:r>
      <w:r>
        <w:t xml:space="preserve">, which contributed $261M of sales and $29M of EBITDA. Albemarle sold a controlling stake in Ketjen in 1Q26, so it is no longer consolidated.</w:t>
      </w:r>
    </w:p>
    <w:p>
      <w:pPr>
        <w:pStyle w:val="BodyText"/>
      </w:pPr>
      <w:r>
        <w:t xml:space="preserve">A better operating comparison is by continuing segment: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jc w:val="right"/>
            </w:pPr>
            <w:r>
              <w:t xml:space="preserve">2Q25 sales</w:t>
            </w:r>
          </w:p>
        </w:tc>
        <w:tc>
          <w:tcPr/>
          <w:p>
            <w:pPr>
              <w:pStyle w:val="Compact"/>
              <w:jc w:val="right"/>
            </w:pPr>
            <w:r>
              <w:t xml:space="preserve">2Q25 adjusted EBITDA</w:t>
            </w:r>
          </w:p>
        </w:tc>
      </w:tr>
      <w:tr>
        <w:tc>
          <w:tcPr/>
          <w:p>
            <w:pPr>
              <w:pStyle w:val="Compact"/>
            </w:pPr>
            <w:r>
              <w:t xml:space="preserve">Energy Storage</w:t>
            </w:r>
          </w:p>
        </w:tc>
        <w:tc>
          <w:tcPr/>
          <w:p>
            <w:pPr>
              <w:pStyle w:val="Compact"/>
              <w:jc w:val="right"/>
            </w:pPr>
            <w:r>
              <w:t xml:space="preserve">$718M</w:t>
            </w:r>
          </w:p>
        </w:tc>
        <w:tc>
          <w:tcPr/>
          <w:p>
            <w:pPr>
              <w:pStyle w:val="Compact"/>
              <w:jc w:val="right"/>
            </w:pPr>
            <w:r>
              <w:t xml:space="preserve">$220M</w:t>
            </w:r>
          </w:p>
        </w:tc>
      </w:tr>
      <w:tr>
        <w:tc>
          <w:tcPr/>
          <w:p>
            <w:pPr>
              <w:pStyle w:val="Compact"/>
            </w:pPr>
            <w:r>
              <w:t xml:space="preserve">Specialties</w:t>
            </w:r>
          </w:p>
        </w:tc>
        <w:tc>
          <w:tcPr/>
          <w:p>
            <w:pPr>
              <w:pStyle w:val="Compact"/>
              <w:jc w:val="right"/>
            </w:pPr>
            <w:r>
              <w:t xml:space="preserve">$352M</w:t>
            </w:r>
          </w:p>
        </w:tc>
        <w:tc>
          <w:tcPr/>
          <w:p>
            <w:pPr>
              <w:pStyle w:val="Compact"/>
              <w:jc w:val="right"/>
            </w:pPr>
            <w:r>
              <w:t xml:space="preserve">$73M</w:t>
            </w:r>
          </w:p>
        </w:tc>
      </w:tr>
    </w:tbl>
    <w:p>
      <w:pPr>
        <w:pStyle w:val="BodyText"/>
      </w:pPr>
      <w:r>
        <w:t xml:space="preserve">Given 1Q26 Energy Storage EBITDA of $551M and management’s outlook for another sequential increase in 2Q, the year-over-year earnings comparison should be very strong. But investors should adjust for the Ketjen deconsolidation when assessing total revenue growth.</w:t>
      </w:r>
    </w:p>
    <w:bookmarkEnd w:id="19"/>
    <w:bookmarkStart w:id="20" w:name="key-call-questions"/>
    <w:p>
      <w:pPr>
        <w:pStyle w:val="Heading2"/>
      </w:pPr>
      <w:r>
        <w:t xml:space="preserve">Key call questions</w:t>
      </w:r>
    </w:p>
    <w:p>
      <w:pPr>
        <w:pStyle w:val="Compact"/>
        <w:numPr>
          <w:ilvl w:val="0"/>
          <w:numId w:val="1008"/>
        </w:numPr>
      </w:pPr>
      <w:r>
        <w:rPr>
          <w:b/>
          <w:bCs/>
        </w:rPr>
        <w:t xml:space="preserve">What were Energy Storage realized price and volume in 2Q, and how much additional contract-price lag benefit is expected in 3Q?</w:t>
      </w:r>
    </w:p>
    <w:p>
      <w:pPr>
        <w:pStyle w:val="Compact"/>
        <w:numPr>
          <w:ilvl w:val="0"/>
          <w:numId w:val="1008"/>
        </w:numPr>
      </w:pPr>
      <w:r>
        <w:rPr>
          <w:b/>
          <w:bCs/>
        </w:rPr>
        <w:t xml:space="preserve">How far did Energy Storage margins normalize from 1Q, and how much was inventory timing versus structural cost pressure?</w:t>
      </w:r>
    </w:p>
    <w:p>
      <w:pPr>
        <w:pStyle w:val="Compact"/>
        <w:numPr>
          <w:ilvl w:val="0"/>
          <w:numId w:val="1008"/>
        </w:numPr>
      </w:pPr>
      <w:r>
        <w:rPr>
          <w:b/>
          <w:bCs/>
        </w:rPr>
        <w:t xml:space="preserve">Are Greenbushes CGP3 and Wodgina tracking to the prior operational plan?</w:t>
      </w:r>
    </w:p>
    <w:p>
      <w:pPr>
        <w:pStyle w:val="Compact"/>
        <w:numPr>
          <w:ilvl w:val="0"/>
          <w:numId w:val="1008"/>
        </w:numPr>
      </w:pPr>
      <w:r>
        <w:rPr>
          <w:b/>
          <w:bCs/>
        </w:rPr>
        <w:t xml:space="preserve">Does the company still expect approximately flat full-year Energy Storage sales volumes?</w:t>
      </w:r>
    </w:p>
    <w:p>
      <w:pPr>
        <w:pStyle w:val="Compact"/>
        <w:numPr>
          <w:ilvl w:val="0"/>
          <w:numId w:val="1008"/>
        </w:numPr>
      </w:pPr>
      <w:r>
        <w:rPr>
          <w:b/>
          <w:bCs/>
        </w:rPr>
        <w:t xml:space="preserve">Is Specialties’ 2H outlook still consistent with</w:t>
      </w:r>
      <w:r>
        <w:rPr>
          <w:b/>
          <w:bCs/>
        </w:rPr>
        <w:t xml:space="preserve"> </w:t>
      </w:r>
      <m:oMath>
        <m:r>
          <m:t>225</m:t>
        </m:r>
        <m:r>
          <m:t>M</m:t>
        </m:r>
        <m:r>
          <m:rPr>
            <m:sty m:val="p"/>
          </m:rPr>
          <m:t>–</m:t>
        </m:r>
      </m:oMath>
      <w:r>
        <w:rPr>
          <w:b/>
          <w:bCs/>
        </w:rPr>
        <w:t xml:space="preserve">275M of EBITDA?</w:t>
      </w:r>
    </w:p>
    <w:p>
      <w:pPr>
        <w:pStyle w:val="Compact"/>
        <w:numPr>
          <w:ilvl w:val="0"/>
          <w:numId w:val="1008"/>
        </w:numPr>
      </w:pPr>
      <w:r>
        <w:rPr>
          <w:b/>
          <w:bCs/>
        </w:rPr>
        <w:t xml:space="preserve">What is the updated annualized impact of Middle East-related supply-chain disruptions?</w:t>
      </w:r>
    </w:p>
    <w:p>
      <w:pPr>
        <w:pStyle w:val="Compact"/>
        <w:numPr>
          <w:ilvl w:val="0"/>
          <w:numId w:val="1008"/>
        </w:numPr>
      </w:pPr>
      <w:r>
        <w:rPr>
          <w:b/>
          <w:bCs/>
        </w:rPr>
        <w:t xml:space="preserve">Has management made progress on the two major lithium contracts that expire at year-end, and will the contract/spot mix change materially?</w:t>
      </w:r>
    </w:p>
    <w:p>
      <w:pPr>
        <w:pStyle w:val="Compact"/>
        <w:numPr>
          <w:ilvl w:val="0"/>
          <w:numId w:val="1008"/>
        </w:numPr>
      </w:pPr>
      <w:r>
        <w:rPr>
          <w:b/>
          <w:bCs/>
        </w:rPr>
        <w:t xml:space="preserve">What is the latest full-year free-cash-flow and leverage outlook under current pricing?</w:t>
      </w:r>
    </w:p>
    <w:bookmarkEnd w:id="20"/>
    <w:bookmarkStart w:id="21" w:name="investment-framing"/>
    <w:p>
      <w:pPr>
        <w:pStyle w:val="Heading2"/>
      </w:pPr>
      <w:r>
        <w:t xml:space="preserve">Investment framing</w:t>
      </w:r>
    </w:p>
    <w:p>
      <w:pPr>
        <w:pStyle w:val="FirstParagraph"/>
      </w:pPr>
      <w:r>
        <w:rPr>
          <w:b/>
          <w:bCs/>
        </w:rPr>
        <w:t xml:space="preserve">Constructive outcome:</w:t>
      </w:r>
      <w:r>
        <w:t xml:space="preserve"> </w:t>
      </w:r>
      <w:r>
        <w:t xml:space="preserve">sequential Energy Storage revenue and EBITDA growth; realized lithium pricing catches up as expected; margins decline only modestly; Specialties holds its upgraded outlook; volume ramps remain on track; and full-year scenario ranges are maintained.</w:t>
      </w:r>
    </w:p>
    <w:p>
      <w:pPr>
        <w:pStyle w:val="BodyText"/>
      </w:pPr>
      <w:r>
        <w:rPr>
          <w:b/>
          <w:bCs/>
        </w:rPr>
        <w:t xml:space="preserve">Negative outcome:</w:t>
      </w:r>
      <w:r>
        <w:t xml:space="preserve"> </w:t>
      </w:r>
      <w:r>
        <w:t xml:space="preserve">Energy Storage price realization or volume misses expectations; margins deteriorate materially beyond the known inventory-timing effect; Specialties momentum fades; Wodgina or Greenbushes issues disrupt the volume plan; or management reduces the scenario framework due to costs or execution.</w:t>
      </w:r>
    </w:p>
    <w:p>
      <w:pPr>
        <w:pStyle w:val="BodyText"/>
      </w:pPr>
      <w:r>
        <w:rPr>
          <w:b/>
          <w:bCs/>
        </w:rPr>
        <w:t xml:space="preserve">My view:</w:t>
      </w:r>
      <w:r>
        <w:t xml:space="preserve"> </w:t>
      </w:r>
      <w:r>
        <w:t xml:space="preserve">The quarter is positioned to show strong year-over-year and sequential earnings growth, but the stock’s reaction will depend on evidence that Albemarle can translate better lithium pricing into</w:t>
      </w:r>
      <w:r>
        <w:t xml:space="preserve"> </w:t>
      </w:r>
      <w:r>
        <w:rPr>
          <w:b/>
          <w:bCs/>
        </w:rPr>
        <w:t xml:space="preserve">repeatable earnings and free cash flow</w:t>
      </w:r>
      <w:r>
        <w:t xml:space="preserve">, rather than merely benefiting from a favorable 1Q inventory-cost dynamic. The full-year commentary on margins, operational ramps, and contract pricing is likely more important than the headline EPS result.</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albemarle.com/news-and-events/news/news-details/2026/Albemarle-Corporation-to-Release-Second-Quarter-2026-Earnings-Results-on-Wednesday-August-5-2026/default.aspx?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albemarle.com/news-and-events/news/news-details/2026/Albemarle-Corporation-to-Release-Second-Quarter-2026-Earnings-Results-on-Wednesday-August-5-2026/default.aspx?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2026-08-05T01:20:30Z</dcterms:created>
  <dcterms:modified xsi:type="dcterms:W3CDTF">2026-08-05T01:20:30Z</dcterms:modified>
</cp:coreProperties>
</file>

<file path=docProps/custom.xml><?xml version="1.0" encoding="utf-8"?>
<Properties xmlns="http://schemas.openxmlformats.org/officeDocument/2006/custom-properties" xmlns:vt="http://schemas.openxmlformats.org/officeDocument/2006/docPropsVTypes"/>
</file>