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Albemarle Corporation (ALB)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Albemarle Corporation</w:t>
            </w:r>
          </w:p>
        </w:tc>
      </w:tr>
      <w:tr>
        <w:tc>
          <w:tcPr>
            <w:tcW w:type="dxa" w:w="4320"/>
          </w:tcPr>
          <w:p>
            <w:r>
              <w:rPr>
                <w:rFonts w:ascii="Calibri" w:hAnsi="Calibri"/>
                <w:b/>
                <w:sz w:val="22"/>
              </w:rPr>
              <w:t>Ticker</w:t>
            </w:r>
          </w:p>
        </w:tc>
        <w:tc>
          <w:tcPr>
            <w:tcW w:type="dxa" w:w="4320"/>
          </w:tcPr>
          <w:p>
            <w:r>
              <w:rPr>
                <w:rFonts w:ascii="Calibri" w:hAnsi="Calibri"/>
                <w:sz w:val="22"/>
              </w:rPr>
              <w:t>NYSE: ALB</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(after market close); Conference Call August 6, 2026 at 8:00 AM ET</w:t>
            </w:r>
          </w:p>
        </w:tc>
      </w:tr>
      <w:tr>
        <w:tc>
          <w:tcPr>
            <w:tcW w:type="dxa" w:w="4320"/>
          </w:tcPr>
          <w:p>
            <w:r>
              <w:rPr>
                <w:rFonts w:ascii="Calibri" w:hAnsi="Calibri"/>
                <w:b/>
                <w:sz w:val="22"/>
              </w:rPr>
              <w:t>Last Earnings</w:t>
            </w:r>
          </w:p>
        </w:tc>
        <w:tc>
          <w:tcPr>
            <w:tcW w:type="dxa" w:w="4320"/>
          </w:tcPr>
          <w:p>
            <w:r>
              <w:rPr>
                <w:rFonts w:ascii="Calibri" w:hAnsi="Calibri"/>
                <w:sz w:val="22"/>
              </w:rPr>
              <w:t>Q1 2026 reported May 6, 2026</w:t>
            </w:r>
          </w:p>
        </w:tc>
      </w:tr>
      <w:tr>
        <w:tc>
          <w:tcPr>
            <w:tcW w:type="dxa" w:w="4320"/>
          </w:tcPr>
          <w:p>
            <w:r>
              <w:rPr>
                <w:rFonts w:ascii="Calibri" w:hAnsi="Calibri"/>
                <w:b/>
                <w:sz w:val="22"/>
              </w:rPr>
              <w:t>Prepared Date</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after the Q1 blowout, and the single biggest swing factor is whether lithium realized pricing in Q2 tracks the sharp spot price rally that management flagged as upside to their $20/kg scenario.</w:t>
      </w:r>
    </w:p>
    <w:p>
      <w:r>
        <w:rPr>
          <w:rFonts w:ascii="Calibri" w:hAnsi="Calibri"/>
          <w:color w:val="525866"/>
          <w:sz w:val="22"/>
        </w:rPr>
        <w:t>Heading into Q2 2026, the bar for ALB looks achievable: consensus expects revenue of ~$1.64B and adjusted EBITDA of ~$791M, both up sharply year-over-year, but the Q1 print — which saw adjusted EBITDA beat by nearly 47% — has reset expectations higher and left less room for a repeat blowout. Management's tone on the Q1 call was constructively optimistic: they held total company guidance across all three price scenarios despite $70–90M in unmitigated Middle East supply chain headwinds, offsetting them with lower interest expense (following $1.3B in Q1 debt repayment) and a raised Specialties outlook ($1.3–1.5B revenue, $225–275M EBITDA). Estimate revisions have moved up since the Q1 print — the 2Q 2026 EBITDA consensus rose from ~$711M to ~$791M — tracking management's constructive posture, though the gap between current consensus and the $20/kg scenario guidance midpoint remains a source of potential upside if Chinese spot prices (last seen near $27/kg) hold. The stock has given back the entire post-Q1 rally and then some, falling ~38% from its May 11 peak to ~$119 as of early August, suggesting the market has already priced in meaningful risk around lithium price sustainability and supply chain costs — a setup that lowers the hurdle for a positive reaction. The key wildcard is the trajectory of lithium spot pricing in Q2: if the one-quarter contract lag means Q2 realized prices reflect the elevated spot levels seen in April–May, Energy Storage EBITDA could surprise materially to the upside; conversely, any softening in the pricing narrative or worse-than-expected spodumene inventory timing could disappoint.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high but achievable bar on EBITDA (~$791M vs. $664M in Q1); the bigger swing factor is average realized lithium price, where a one-quarter contract lag could push Q2 realizations well above the $20/kg scenario midpoint if April–May spot prices (~$27/kg) flow through.</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 FY)</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 ($M)</w:t>
            </w:r>
          </w:p>
        </w:tc>
        <w:tc>
          <w:tcPr>
            <w:tcW w:type="dxa" w:w="1234"/>
          </w:tcPr>
          <w:p>
            <w:r>
              <w:rPr>
                <w:rFonts w:ascii="Calibri" w:hAnsi="Calibri"/>
                <w:sz w:val="22"/>
              </w:rPr>
              <w:t>$1,428.7M</w:t>
            </w:r>
          </w:p>
        </w:tc>
        <w:tc>
          <w:tcPr>
            <w:tcW w:type="dxa" w:w="1234"/>
          </w:tcPr>
          <w:p>
            <w:r>
              <w:rPr>
                <w:rFonts w:ascii="Calibri" w:hAnsi="Calibri"/>
                <w:sz w:val="22"/>
              </w:rPr>
              <w:t>$1,330.0M</w:t>
            </w:r>
          </w:p>
        </w:tc>
        <w:tc>
          <w:tcPr>
            <w:tcW w:type="dxa" w:w="1234"/>
          </w:tcPr>
          <w:p>
            <w:r>
              <w:rPr>
                <w:rFonts w:ascii="Calibri" w:hAnsi="Calibri"/>
                <w:sz w:val="22"/>
              </w:rPr>
              <w:t>$1,644.9M</w:t>
            </w:r>
          </w:p>
        </w:tc>
        <w:tc>
          <w:tcPr>
            <w:tcW w:type="dxa" w:w="1234"/>
          </w:tcPr>
          <w:p>
            <w:r>
              <w:rPr>
                <w:rFonts w:ascii="Calibri" w:hAnsi="Calibri"/>
                <w:sz w:val="22"/>
              </w:rPr>
              <w:t>+23.7% YoY</w:t>
            </w:r>
          </w:p>
        </w:tc>
        <w:tc>
          <w:tcPr>
            <w:tcW w:type="dxa" w:w="1234"/>
          </w:tcPr>
          <w:p>
            <w:r>
              <w:rPr>
                <w:rFonts w:ascii="Calibri" w:hAnsi="Calibri"/>
                <w:sz w:val="22"/>
              </w:rPr>
              <w:t>Up sequentially (Q2 guide); FY: $6.50B consensus</w:t>
            </w:r>
          </w:p>
        </w:tc>
        <w:tc>
          <w:tcPr>
            <w:tcW w:type="dxa" w:w="1234"/>
          </w:tcPr>
          <w:p>
            <w:r>
              <w:rPr>
                <w:rFonts w:ascii="Calibri" w:hAnsi="Calibri"/>
                <w:sz w:val="22"/>
              </w:rPr>
              <w:t>N/A — no specific Q2 revenue guidance midpoint provided</w:t>
            </w:r>
          </w:p>
        </w:tc>
      </w:tr>
      <w:tr>
        <w:tc>
          <w:tcPr>
            <w:tcW w:type="dxa" w:w="1234"/>
          </w:tcPr>
          <w:p>
            <w:r>
              <w:rPr>
                <w:rFonts w:ascii="Calibri" w:hAnsi="Calibri"/>
                <w:sz w:val="22"/>
              </w:rPr>
              <w:t>Energy Storage Revenue ($M)</w:t>
            </w:r>
          </w:p>
        </w:tc>
        <w:tc>
          <w:tcPr>
            <w:tcW w:type="dxa" w:w="1234"/>
          </w:tcPr>
          <w:p>
            <w:r>
              <w:rPr>
                <w:rFonts w:ascii="Calibri" w:hAnsi="Calibri"/>
                <w:sz w:val="22"/>
              </w:rPr>
              <w:t>$891.2M</w:t>
            </w:r>
          </w:p>
        </w:tc>
        <w:tc>
          <w:tcPr>
            <w:tcW w:type="dxa" w:w="1234"/>
          </w:tcPr>
          <w:p>
            <w:r>
              <w:rPr>
                <w:rFonts w:ascii="Calibri" w:hAnsi="Calibri"/>
                <w:sz w:val="22"/>
              </w:rPr>
              <w:t>$717.7M</w:t>
            </w:r>
          </w:p>
        </w:tc>
        <w:tc>
          <w:tcPr>
            <w:tcW w:type="dxa" w:w="1234"/>
          </w:tcPr>
          <w:p>
            <w:r>
              <w:rPr>
                <w:rFonts w:ascii="Calibri" w:hAnsi="Calibri"/>
                <w:sz w:val="22"/>
              </w:rPr>
              <w:t>$1,236.6M</w:t>
            </w:r>
          </w:p>
        </w:tc>
        <w:tc>
          <w:tcPr>
            <w:tcW w:type="dxa" w:w="1234"/>
          </w:tcPr>
          <w:p>
            <w:r>
              <w:rPr>
                <w:rFonts w:ascii="Calibri" w:hAnsi="Calibri"/>
                <w:sz w:val="22"/>
              </w:rPr>
              <w:t>+72.3% YoY</w:t>
            </w:r>
          </w:p>
        </w:tc>
        <w:tc>
          <w:tcPr>
            <w:tcW w:type="dxa" w:w="1234"/>
          </w:tcPr>
          <w:p>
            <w:r>
              <w:rPr>
                <w:rFonts w:ascii="Calibri" w:hAnsi="Calibri"/>
                <w:sz w:val="22"/>
              </w:rPr>
              <w:t>Net sales up sequentially (Q2 guide)</w:t>
            </w:r>
          </w:p>
        </w:tc>
        <w:tc>
          <w:tcPr>
            <w:tcW w:type="dxa" w:w="1234"/>
          </w:tcPr>
          <w:p>
            <w:r>
              <w:rPr>
                <w:rFonts w:ascii="Calibri" w:hAnsi="Calibri"/>
                <w:sz w:val="22"/>
              </w:rPr>
              <w:t>N/A — no specific midpoint</w:t>
            </w:r>
          </w:p>
        </w:tc>
      </w:tr>
      <w:tr>
        <w:tc>
          <w:tcPr>
            <w:tcW w:type="dxa" w:w="1234"/>
          </w:tcPr>
          <w:p>
            <w:r>
              <w:rPr>
                <w:rFonts w:ascii="Calibri" w:hAnsi="Calibri"/>
                <w:sz w:val="22"/>
              </w:rPr>
              <w:t>Specialties Revenue ($M)</w:t>
            </w:r>
          </w:p>
        </w:tc>
        <w:tc>
          <w:tcPr>
            <w:tcW w:type="dxa" w:w="1234"/>
          </w:tcPr>
          <w:p>
            <w:r>
              <w:rPr>
                <w:rFonts w:ascii="Calibri" w:hAnsi="Calibri"/>
                <w:sz w:val="22"/>
              </w:rPr>
              <w:t>$358.4M</w:t>
            </w:r>
          </w:p>
        </w:tc>
        <w:tc>
          <w:tcPr>
            <w:tcW w:type="dxa" w:w="1234"/>
          </w:tcPr>
          <w:p>
            <w:r>
              <w:rPr>
                <w:rFonts w:ascii="Calibri" w:hAnsi="Calibri"/>
                <w:sz w:val="22"/>
              </w:rPr>
              <w:t>$351.6M</w:t>
            </w:r>
          </w:p>
        </w:tc>
        <w:tc>
          <w:tcPr>
            <w:tcW w:type="dxa" w:w="1234"/>
          </w:tcPr>
          <w:p>
            <w:r>
              <w:rPr>
                <w:rFonts w:ascii="Calibri" w:hAnsi="Calibri"/>
                <w:sz w:val="22"/>
              </w:rPr>
              <w:t>$366.8M</w:t>
            </w:r>
          </w:p>
        </w:tc>
        <w:tc>
          <w:tcPr>
            <w:tcW w:type="dxa" w:w="1234"/>
          </w:tcPr>
          <w:p>
            <w:r>
              <w:rPr>
                <w:rFonts w:ascii="Calibri" w:hAnsi="Calibri"/>
                <w:sz w:val="22"/>
              </w:rPr>
              <w:t>+4.3% YoY</w:t>
            </w:r>
          </w:p>
        </w:tc>
        <w:tc>
          <w:tcPr>
            <w:tcW w:type="dxa" w:w="1234"/>
          </w:tcPr>
          <w:p>
            <w:r>
              <w:rPr>
                <w:rFonts w:ascii="Calibri" w:hAnsi="Calibri"/>
                <w:sz w:val="22"/>
              </w:rPr>
              <w:t>FY raised to $1.3–$1.5B; Q2 net sales up sequentially</w:t>
            </w:r>
          </w:p>
        </w:tc>
        <w:tc>
          <w:tcPr>
            <w:tcW w:type="dxa" w:w="1234"/>
          </w:tcPr>
          <w:p>
            <w:r>
              <w:rPr>
                <w:rFonts w:ascii="Calibri" w:hAnsi="Calibri"/>
                <w:sz w:val="22"/>
              </w:rPr>
              <w:t>~+2.7% vs. FY midpoint annualized run-rate</w:t>
            </w:r>
          </w:p>
        </w:tc>
      </w:tr>
      <w:tr>
        <w:tc>
          <w:tcPr>
            <w:tcW w:type="dxa" w:w="1234"/>
          </w:tcPr>
          <w:p>
            <w:r>
              <w:rPr>
                <w:rFonts w:ascii="Calibri" w:hAnsi="Calibri"/>
                <w:sz w:val="22"/>
              </w:rPr>
              <w:t>Adj. EBITDA — Operating ($M)</w:t>
            </w:r>
          </w:p>
        </w:tc>
        <w:tc>
          <w:tcPr>
            <w:tcW w:type="dxa" w:w="1234"/>
          </w:tcPr>
          <w:p>
            <w:r>
              <w:rPr>
                <w:rFonts w:ascii="Calibri" w:hAnsi="Calibri"/>
                <w:sz w:val="22"/>
              </w:rPr>
              <w:t>$663.8M</w:t>
            </w:r>
          </w:p>
        </w:tc>
        <w:tc>
          <w:tcPr>
            <w:tcW w:type="dxa" w:w="1234"/>
          </w:tcPr>
          <w:p>
            <w:r>
              <w:rPr>
                <w:rFonts w:ascii="Calibri" w:hAnsi="Calibri"/>
                <w:sz w:val="22"/>
              </w:rPr>
              <w:t>$336.5M</w:t>
            </w:r>
          </w:p>
        </w:tc>
        <w:tc>
          <w:tcPr>
            <w:tcW w:type="dxa" w:w="1234"/>
          </w:tcPr>
          <w:p>
            <w:r>
              <w:rPr>
                <w:rFonts w:ascii="Calibri" w:hAnsi="Calibri"/>
                <w:sz w:val="22"/>
              </w:rPr>
              <w:t>$790.6M</w:t>
            </w:r>
          </w:p>
        </w:tc>
        <w:tc>
          <w:tcPr>
            <w:tcW w:type="dxa" w:w="1234"/>
          </w:tcPr>
          <w:p>
            <w:r>
              <w:rPr>
                <w:rFonts w:ascii="Calibri" w:hAnsi="Calibri"/>
                <w:sz w:val="22"/>
              </w:rPr>
              <w:t>+135.0% YoY</w:t>
            </w:r>
          </w:p>
        </w:tc>
        <w:tc>
          <w:tcPr>
            <w:tcW w:type="dxa" w:w="1234"/>
          </w:tcPr>
          <w:p>
            <w:r>
              <w:rPr>
                <w:rFonts w:ascii="Calibri" w:hAnsi="Calibri"/>
                <w:sz w:val="22"/>
              </w:rPr>
              <w:t>Up sequentially (Q2 guide); FY: $3.04B consensus</w:t>
            </w:r>
          </w:p>
        </w:tc>
        <w:tc>
          <w:tcPr>
            <w:tcW w:type="dxa" w:w="1234"/>
          </w:tcPr>
          <w:p>
            <w:r>
              <w:rPr>
                <w:rFonts w:ascii="Calibri" w:hAnsi="Calibri"/>
                <w:sz w:val="22"/>
              </w:rPr>
              <w:t>N/A — no specific Q2 EBITDA midpoint</w:t>
            </w:r>
          </w:p>
        </w:tc>
      </w:tr>
      <w:tr>
        <w:tc>
          <w:tcPr>
            <w:tcW w:type="dxa" w:w="1234"/>
          </w:tcPr>
          <w:p>
            <w:r>
              <w:rPr>
                <w:rFonts w:ascii="Calibri" w:hAnsi="Calibri"/>
                <w:sz w:val="22"/>
              </w:rPr>
              <w:t>EPS — Diluted Adj. ($)</w:t>
            </w:r>
          </w:p>
        </w:tc>
        <w:tc>
          <w:tcPr>
            <w:tcW w:type="dxa" w:w="1234"/>
          </w:tcPr>
          <w:p>
            <w:r>
              <w:rPr>
                <w:rFonts w:ascii="Calibri" w:hAnsi="Calibri"/>
                <w:sz w:val="22"/>
              </w:rPr>
              <w:t>$2.95</w:t>
            </w:r>
          </w:p>
        </w:tc>
        <w:tc>
          <w:tcPr>
            <w:tcW w:type="dxa" w:w="1234"/>
          </w:tcPr>
          <w:p>
            <w:r>
              <w:rPr>
                <w:rFonts w:ascii="Calibri" w:hAnsi="Calibri"/>
                <w:sz w:val="22"/>
              </w:rPr>
              <w:t>$0.47</w:t>
            </w:r>
          </w:p>
        </w:tc>
        <w:tc>
          <w:tcPr>
            <w:tcW w:type="dxa" w:w="1234"/>
          </w:tcPr>
          <w:p>
            <w:r>
              <w:rPr>
                <w:rFonts w:ascii="Calibri" w:hAnsi="Calibri"/>
                <w:sz w:val="22"/>
              </w:rPr>
              <w:t>$3.51</w:t>
            </w:r>
          </w:p>
        </w:tc>
        <w:tc>
          <w:tcPr>
            <w:tcW w:type="dxa" w:w="1234"/>
          </w:tcPr>
          <w:p>
            <w:r>
              <w:rPr>
                <w:rFonts w:ascii="Calibri" w:hAnsi="Calibri"/>
                <w:sz w:val="22"/>
              </w:rPr>
              <w:t>+646% YoY</w:t>
            </w:r>
          </w:p>
        </w:tc>
        <w:tc>
          <w:tcPr>
            <w:tcW w:type="dxa" w:w="1234"/>
          </w:tcPr>
          <w:p>
            <w:r>
              <w:rPr>
                <w:rFonts w:ascii="Calibri" w:hAnsi="Calibri"/>
                <w:sz w:val="22"/>
              </w:rPr>
              <w:t>No specific Q2 EPS guidance; FY: $13.84 consensus</w:t>
            </w:r>
          </w:p>
        </w:tc>
        <w:tc>
          <w:tcPr>
            <w:tcW w:type="dxa" w:w="1234"/>
          </w:tcPr>
          <w:p>
            <w:r>
              <w:rPr>
                <w:rFonts w:ascii="Calibri" w:hAnsi="Calibri"/>
                <w:sz w:val="22"/>
              </w:rPr>
              <w:t>N/A</w:t>
            </w:r>
          </w:p>
        </w:tc>
      </w:tr>
      <w:tr>
        <w:tc>
          <w:tcPr>
            <w:tcW w:type="dxa" w:w="1234"/>
          </w:tcPr>
          <w:p>
            <w:r>
              <w:rPr>
                <w:rFonts w:ascii="Calibri" w:hAnsi="Calibri"/>
                <w:sz w:val="22"/>
              </w:rPr>
              <w:t>Avg. Realized Lithium Price ($/kg)</w:t>
            </w:r>
          </w:p>
        </w:tc>
        <w:tc>
          <w:tcPr>
            <w:tcW w:type="dxa" w:w="1234"/>
          </w:tcPr>
          <w:p>
            <w:r>
              <w:rPr>
                <w:rFonts w:ascii="Calibri" w:hAnsi="Calibri"/>
                <w:sz w:val="22"/>
              </w:rPr>
              <w:t>$16.81/kg</w:t>
            </w:r>
          </w:p>
        </w:tc>
        <w:tc>
          <w:tcPr>
            <w:tcW w:type="dxa" w:w="1234"/>
          </w:tcPr>
          <w:p>
            <w:r>
              <w:rPr>
                <w:rFonts w:ascii="Calibri" w:hAnsi="Calibri"/>
                <w:sz w:val="22"/>
              </w:rPr>
              <w:t>$12.16/kg</w:t>
            </w:r>
          </w:p>
        </w:tc>
        <w:tc>
          <w:tcPr>
            <w:tcW w:type="dxa" w:w="1234"/>
          </w:tcPr>
          <w:p>
            <w:r>
              <w:rPr>
                <w:rFonts w:ascii="Calibri" w:hAnsi="Calibri"/>
                <w:sz w:val="22"/>
              </w:rPr>
              <w:t>$20.88/kg</w:t>
            </w:r>
          </w:p>
        </w:tc>
        <w:tc>
          <w:tcPr>
            <w:tcW w:type="dxa" w:w="1234"/>
          </w:tcPr>
          <w:p>
            <w:r>
              <w:rPr>
                <w:rFonts w:ascii="Calibri" w:hAnsi="Calibri"/>
                <w:sz w:val="22"/>
              </w:rPr>
              <w:t>+71.7% YoY</w:t>
            </w:r>
          </w:p>
        </w:tc>
        <w:tc>
          <w:tcPr>
            <w:tcW w:type="dxa" w:w="1234"/>
          </w:tcPr>
          <w:p>
            <w:r>
              <w:rPr>
                <w:rFonts w:ascii="Calibri" w:hAnsi="Calibri"/>
                <w:sz w:val="22"/>
              </w:rPr>
              <w:t>Mgmt $20/kg scenario; upside if spot ~$27/kg holds</w:t>
            </w:r>
          </w:p>
        </w:tc>
        <w:tc>
          <w:tcPr>
            <w:tcW w:type="dxa" w:w="1234"/>
          </w:tcPr>
          <w:p>
            <w:r>
              <w:rPr>
                <w:rFonts w:ascii="Calibri" w:hAnsi="Calibri"/>
                <w:sz w:val="22"/>
              </w:rPr>
              <w:t>+4.4% above $20/kg scenario</w:t>
            </w:r>
          </w:p>
        </w:tc>
      </w:tr>
      <w:tr>
        <w:tc>
          <w:tcPr>
            <w:tcW w:type="dxa" w:w="1234"/>
          </w:tcPr>
          <w:p>
            <w:r>
              <w:rPr>
                <w:rFonts w:ascii="Calibri" w:hAnsi="Calibri"/>
                <w:sz w:val="22"/>
              </w:rPr>
              <w:t>Total LCE Sold (KTons)</w:t>
            </w:r>
          </w:p>
        </w:tc>
        <w:tc>
          <w:tcPr>
            <w:tcW w:type="dxa" w:w="1234"/>
          </w:tcPr>
          <w:p>
            <w:r>
              <w:rPr>
                <w:rFonts w:ascii="Calibri" w:hAnsi="Calibri"/>
                <w:sz w:val="22"/>
              </w:rPr>
              <w:t>53.0 KT</w:t>
            </w:r>
          </w:p>
        </w:tc>
        <w:tc>
          <w:tcPr>
            <w:tcW w:type="dxa" w:w="1234"/>
          </w:tcPr>
          <w:p>
            <w:r>
              <w:rPr>
                <w:rFonts w:ascii="Calibri" w:hAnsi="Calibri"/>
                <w:sz w:val="22"/>
              </w:rPr>
              <w:t>59.0 KT</w:t>
            </w:r>
          </w:p>
        </w:tc>
        <w:tc>
          <w:tcPr>
            <w:tcW w:type="dxa" w:w="1234"/>
          </w:tcPr>
          <w:p>
            <w:r>
              <w:rPr>
                <w:rFonts w:ascii="Calibri" w:hAnsi="Calibri"/>
                <w:sz w:val="22"/>
              </w:rPr>
              <w:t>59.2 KT</w:t>
            </w:r>
          </w:p>
        </w:tc>
        <w:tc>
          <w:tcPr>
            <w:tcW w:type="dxa" w:w="1234"/>
          </w:tcPr>
          <w:p>
            <w:r>
              <w:rPr>
                <w:rFonts w:ascii="Calibri" w:hAnsi="Calibri"/>
                <w:sz w:val="22"/>
              </w:rPr>
              <w:t>+0.3% YoY</w:t>
            </w:r>
          </w:p>
        </w:tc>
        <w:tc>
          <w:tcPr>
            <w:tcW w:type="dxa" w:w="1234"/>
          </w:tcPr>
          <w:p>
            <w:r>
              <w:rPr>
                <w:rFonts w:ascii="Calibri" w:hAnsi="Calibri"/>
                <w:sz w:val="22"/>
              </w:rPr>
              <w:t>Volumes up Q2 vs. Q1 (seasonality); FY: ~234 KT</w:t>
            </w:r>
          </w:p>
        </w:tc>
        <w:tc>
          <w:tcPr>
            <w:tcW w:type="dxa" w:w="1234"/>
          </w:tcPr>
          <w:p>
            <w:r>
              <w:rPr>
                <w:rFonts w:ascii="Calibri" w:hAnsi="Calibri"/>
                <w:sz w:val="22"/>
              </w:rPr>
              <w:t>N/A — no specific midpoint</w:t>
            </w:r>
          </w:p>
        </w:tc>
      </w:tr>
      <w:tr>
        <w:tc>
          <w:tcPr>
            <w:tcW w:type="dxa" w:w="1234"/>
          </w:tcPr>
          <w:p>
            <w:r>
              <w:rPr>
                <w:rFonts w:ascii="Calibri" w:hAnsi="Calibri"/>
                <w:sz w:val="22"/>
              </w:rPr>
              <w:t>Free Cash Flow ($M)</w:t>
            </w:r>
          </w:p>
        </w:tc>
        <w:tc>
          <w:tcPr>
            <w:tcW w:type="dxa" w:w="1234"/>
          </w:tcPr>
          <w:p>
            <w:r>
              <w:rPr>
                <w:rFonts w:ascii="Calibri" w:hAnsi="Calibri"/>
                <w:sz w:val="22"/>
              </w:rPr>
              <w:t>$247.6M</w:t>
            </w:r>
          </w:p>
        </w:tc>
        <w:tc>
          <w:tcPr>
            <w:tcW w:type="dxa" w:w="1234"/>
          </w:tcPr>
          <w:p>
            <w:r>
              <w:rPr>
                <w:rFonts w:ascii="Calibri" w:hAnsi="Calibri"/>
                <w:sz w:val="22"/>
              </w:rPr>
              <w:t>-$126.8M</w:t>
            </w:r>
          </w:p>
        </w:tc>
        <w:tc>
          <w:tcPr>
            <w:tcW w:type="dxa" w:w="1234"/>
          </w:tcPr>
          <w:p>
            <w:r>
              <w:rPr>
                <w:rFonts w:ascii="Calibri" w:hAnsi="Calibri"/>
                <w:sz w:val="22"/>
              </w:rPr>
              <w:t>$56.9M</w:t>
            </w:r>
          </w:p>
        </w:tc>
        <w:tc>
          <w:tcPr>
            <w:tcW w:type="dxa" w:w="1234"/>
          </w:tcPr>
          <w:p>
            <w:r>
              <w:rPr>
                <w:rFonts w:ascii="Calibri" w:hAnsi="Calibri"/>
                <w:sz w:val="22"/>
              </w:rPr>
              <w:t>N/M (prior year negative)</w:t>
            </w:r>
          </w:p>
        </w:tc>
        <w:tc>
          <w:tcPr>
            <w:tcW w:type="dxa" w:w="1234"/>
          </w:tcPr>
          <w:p>
            <w:r>
              <w:rPr>
                <w:rFonts w:ascii="Calibri" w:hAnsi="Calibri"/>
                <w:sz w:val="22"/>
              </w:rPr>
              <w:t>FY: ~$1.11B consensus; OCF conversion 60–70% at $20/kg</w:t>
            </w:r>
          </w:p>
        </w:tc>
        <w:tc>
          <w:tcPr>
            <w:tcW w:type="dxa" w:w="1234"/>
          </w:tcPr>
          <w:p>
            <w:r>
              <w:rPr>
                <w:rFonts w:ascii="Calibri" w:hAnsi="Calibri"/>
                <w:sz w:val="22"/>
              </w:rPr>
              <w:t>N/A</w:t>
            </w:r>
          </w:p>
        </w:tc>
      </w:tr>
      <w:tr>
        <w:tc>
          <w:tcPr>
            <w:tcW w:type="dxa" w:w="1234"/>
          </w:tcPr>
          <w:p>
            <w:r>
              <w:rPr>
                <w:rFonts w:ascii="Calibri" w:hAnsi="Calibri"/>
                <w:sz w:val="22"/>
              </w:rPr>
              <w:t>Capital Expenditures ($M)</w:t>
            </w:r>
          </w:p>
        </w:tc>
        <w:tc>
          <w:tcPr>
            <w:tcW w:type="dxa" w:w="1234"/>
          </w:tcPr>
          <w:p>
            <w:r>
              <w:rPr>
                <w:rFonts w:ascii="Calibri" w:hAnsi="Calibri"/>
                <w:sz w:val="22"/>
              </w:rPr>
              <w:t>$98.7M</w:t>
            </w:r>
          </w:p>
        </w:tc>
        <w:tc>
          <w:tcPr>
            <w:tcW w:type="dxa" w:w="1234"/>
          </w:tcPr>
          <w:p>
            <w:r>
              <w:rPr>
                <w:rFonts w:ascii="Calibri" w:hAnsi="Calibri"/>
                <w:sz w:val="22"/>
              </w:rPr>
              <w:t>$119.6M</w:t>
            </w:r>
          </w:p>
        </w:tc>
        <w:tc>
          <w:tcPr>
            <w:tcW w:type="dxa" w:w="1234"/>
          </w:tcPr>
          <w:p>
            <w:r>
              <w:rPr>
                <w:rFonts w:ascii="Calibri" w:hAnsi="Calibri"/>
                <w:sz w:val="22"/>
              </w:rPr>
              <w:t>$148.5M</w:t>
            </w:r>
          </w:p>
        </w:tc>
        <w:tc>
          <w:tcPr>
            <w:tcW w:type="dxa" w:w="1234"/>
          </w:tcPr>
          <w:p>
            <w:r>
              <w:rPr>
                <w:rFonts w:ascii="Calibri" w:hAnsi="Calibri"/>
                <w:sz w:val="22"/>
              </w:rPr>
              <w:t>-17.5% YoY (prior year basis)</w:t>
            </w:r>
          </w:p>
        </w:tc>
        <w:tc>
          <w:tcPr>
            <w:tcW w:type="dxa" w:w="1234"/>
          </w:tcPr>
          <w:p>
            <w:r>
              <w:rPr>
                <w:rFonts w:ascii="Calibri" w:hAnsi="Calibri"/>
                <w:sz w:val="22"/>
              </w:rPr>
              <w:t>FY: $550–$600M</w:t>
            </w:r>
          </w:p>
        </w:tc>
        <w:tc>
          <w:tcPr>
            <w:tcW w:type="dxa" w:w="1234"/>
          </w:tcPr>
          <w:p>
            <w:r>
              <w:rPr>
                <w:rFonts w:ascii="Calibri" w:hAnsi="Calibri"/>
                <w:sz w:val="22"/>
              </w:rPr>
              <w:t>~+1.8% vs. FY midpoint quarterly run-rate</w:t>
            </w:r>
          </w:p>
        </w:tc>
      </w:tr>
    </w:tbl>
    <w:p>
      <w:r>
        <w:rPr>
          <w:rFonts w:ascii="Calibri" w:hAnsi="Calibri"/>
          <w:color w:val="525866"/>
          <w:sz w:val="22"/>
        </w:rPr>
        <w:t>Source: Visible Alpha Consensus and Actuals Data. Q2 2026 consensus as of August 4, 2026. Q1 2026 actuals from VA. Q2 2025 actuals from VA. Guidance from Q1 2026 earnings call (May 6–7, 2026).</w:t>
      </w:r>
    </w:p>
    <w:p>
      <w:pPr>
        <w:pStyle w:val="Heading3"/>
      </w:pPr>
      <w:r>
        <w:rPr>
          <w:rFonts w:ascii="Calibri" w:hAnsi="Calibri"/>
          <w:b/>
          <w:color w:val="3B4259"/>
          <w:sz w:val="24"/>
        </w:rPr>
        <w:t>Table 2 — Beat/Miss History (Last 8 Quarters)</w:t>
      </w:r>
    </w:p>
    <w:p>
      <w:r>
        <w:rPr>
          <w:rFonts w:ascii="Calibri" w:hAnsi="Calibri"/>
          <w:color w:val="525866"/>
          <w:sz w:val="22"/>
        </w:rPr>
        <w:t>Top 2 KPIs: Adjusted EBITDA — Operating and Average Realized Lithium Price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$663.8M</w:t>
            </w:r>
          </w:p>
        </w:tc>
        <w:tc>
          <w:tcPr>
            <w:tcW w:type="dxa" w:w="1440"/>
          </w:tcPr>
          <w:p>
            <w:r>
              <w:rPr>
                <w:rFonts w:ascii="Calibri" w:hAnsi="Calibri"/>
                <w:sz w:val="22"/>
              </w:rPr>
              <w:t>$449.0M</w:t>
            </w:r>
          </w:p>
        </w:tc>
        <w:tc>
          <w:tcPr>
            <w:tcW w:type="dxa" w:w="1440"/>
          </w:tcPr>
          <w:p>
            <w:r>
              <w:rPr>
                <w:rFonts w:ascii="Calibri" w:hAnsi="Calibri"/>
                <w:b/>
                <w:color w:val="30A46C"/>
                <w:sz w:val="22"/>
              </w:rPr>
              <w:t>+47.8%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Avg. Realized Li Price</w:t>
            </w:r>
          </w:p>
        </w:tc>
        <w:tc>
          <w:tcPr>
            <w:tcW w:type="dxa" w:w="1440"/>
          </w:tcPr>
          <w:p>
            <w:r>
              <w:rPr>
                <w:rFonts w:ascii="Calibri" w:hAnsi="Calibri"/>
                <w:sz w:val="22"/>
              </w:rPr>
              <w:t>$16.81/kg</w:t>
            </w:r>
          </w:p>
        </w:tc>
        <w:tc>
          <w:tcPr>
            <w:tcW w:type="dxa" w:w="1440"/>
          </w:tcPr>
          <w:p>
            <w:r>
              <w:rPr>
                <w:rFonts w:ascii="Calibri" w:hAnsi="Calibri"/>
                <w:sz w:val="22"/>
              </w:rPr>
              <w:t>$16.60/kg</w:t>
            </w:r>
          </w:p>
        </w:tc>
        <w:tc>
          <w:tcPr>
            <w:tcW w:type="dxa" w:w="1440"/>
          </w:tcPr>
          <w:p>
            <w:r>
              <w:rPr>
                <w:rFonts w:ascii="Calibri" w:hAnsi="Calibri"/>
                <w:sz w:val="22"/>
              </w:rPr>
              <w:t>+1.3%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$268.7M</w:t>
            </w:r>
          </w:p>
        </w:tc>
        <w:tc>
          <w:tcPr>
            <w:tcW w:type="dxa" w:w="1440"/>
          </w:tcPr>
          <w:p>
            <w:r>
              <w:rPr>
                <w:rFonts w:ascii="Calibri" w:hAnsi="Calibri"/>
                <w:sz w:val="22"/>
              </w:rPr>
              <w:t>$235.6M</w:t>
            </w:r>
          </w:p>
        </w:tc>
        <w:tc>
          <w:tcPr>
            <w:tcW w:type="dxa" w:w="1440"/>
          </w:tcPr>
          <w:p>
            <w:r>
              <w:rPr>
                <w:rFonts w:ascii="Calibri" w:hAnsi="Calibri"/>
                <w:b/>
                <w:color w:val="30A46C"/>
                <w:sz w:val="22"/>
              </w:rPr>
              <w:t>+14.1%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Avg. Realized Li Price</w:t>
            </w:r>
          </w:p>
        </w:tc>
        <w:tc>
          <w:tcPr>
            <w:tcW w:type="dxa" w:w="1440"/>
          </w:tcPr>
          <w:p>
            <w:r>
              <w:rPr>
                <w:rFonts w:ascii="Calibri" w:hAnsi="Calibri"/>
                <w:sz w:val="22"/>
              </w:rPr>
              <w:t>$12.05/kg</w:t>
            </w:r>
          </w:p>
        </w:tc>
        <w:tc>
          <w:tcPr>
            <w:tcW w:type="dxa" w:w="1440"/>
          </w:tcPr>
          <w:p>
            <w:r>
              <w:rPr>
                <w:rFonts w:ascii="Calibri" w:hAnsi="Calibri"/>
                <w:sz w:val="22"/>
              </w:rPr>
              <w:t>$11.95/kg</w:t>
            </w:r>
          </w:p>
        </w:tc>
        <w:tc>
          <w:tcPr>
            <w:tcW w:type="dxa" w:w="1440"/>
          </w:tcPr>
          <w:p>
            <w:r>
              <w:rPr>
                <w:rFonts w:ascii="Calibri" w:hAnsi="Calibri"/>
                <w:sz w:val="22"/>
              </w:rPr>
              <w:t>+0.8%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$225.6M</w:t>
            </w:r>
          </w:p>
        </w:tc>
        <w:tc>
          <w:tcPr>
            <w:tcW w:type="dxa" w:w="1440"/>
          </w:tcPr>
          <w:p>
            <w:r>
              <w:rPr>
                <w:rFonts w:ascii="Calibri" w:hAnsi="Calibri"/>
                <w:sz w:val="22"/>
              </w:rPr>
              <w:t>$188.3M</w:t>
            </w:r>
          </w:p>
        </w:tc>
        <w:tc>
          <w:tcPr>
            <w:tcW w:type="dxa" w:w="1440"/>
          </w:tcPr>
          <w:p>
            <w:r>
              <w:rPr>
                <w:rFonts w:ascii="Calibri" w:hAnsi="Calibri"/>
                <w:b/>
                <w:color w:val="30A46C"/>
                <w:sz w:val="22"/>
              </w:rPr>
              <w:t>+19.8%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Avg. Realized Li Price</w:t>
            </w:r>
          </w:p>
        </w:tc>
        <w:tc>
          <w:tcPr>
            <w:tcW w:type="dxa" w:w="1440"/>
          </w:tcPr>
          <w:p>
            <w:r>
              <w:rPr>
                <w:rFonts w:ascii="Calibri" w:hAnsi="Calibri"/>
                <w:sz w:val="22"/>
              </w:rPr>
              <w:t>$10.27/kg</w:t>
            </w:r>
          </w:p>
        </w:tc>
        <w:tc>
          <w:tcPr>
            <w:tcW w:type="dxa" w:w="1440"/>
          </w:tcPr>
          <w:p>
            <w:r>
              <w:rPr>
                <w:rFonts w:ascii="Calibri" w:hAnsi="Calibri"/>
                <w:sz w:val="22"/>
              </w:rPr>
              <w:t>$11.08/kg</w:t>
            </w:r>
          </w:p>
        </w:tc>
        <w:tc>
          <w:tcPr>
            <w:tcW w:type="dxa" w:w="1440"/>
          </w:tcPr>
          <w:p>
            <w:r>
              <w:rPr>
                <w:rFonts w:ascii="Calibri" w:hAnsi="Calibri"/>
                <w:b/>
                <w:color w:val="E5484D"/>
                <w:sz w:val="22"/>
              </w:rPr>
              <w:t>-7.3%</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$336.5M</w:t>
            </w:r>
          </w:p>
        </w:tc>
        <w:tc>
          <w:tcPr>
            <w:tcW w:type="dxa" w:w="1440"/>
          </w:tcPr>
          <w:p>
            <w:r>
              <w:rPr>
                <w:rFonts w:ascii="Calibri" w:hAnsi="Calibri"/>
                <w:sz w:val="22"/>
              </w:rPr>
              <w:t>$186.8M</w:t>
            </w:r>
          </w:p>
        </w:tc>
        <w:tc>
          <w:tcPr>
            <w:tcW w:type="dxa" w:w="1440"/>
          </w:tcPr>
          <w:p>
            <w:r>
              <w:rPr>
                <w:rFonts w:ascii="Calibri" w:hAnsi="Calibri"/>
                <w:b/>
                <w:color w:val="30A46C"/>
                <w:sz w:val="22"/>
              </w:rPr>
              <w:t>+80.2%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Avg. Realized Li Price</w:t>
            </w:r>
          </w:p>
        </w:tc>
        <w:tc>
          <w:tcPr>
            <w:tcW w:type="dxa" w:w="1440"/>
          </w:tcPr>
          <w:p>
            <w:r>
              <w:rPr>
                <w:rFonts w:ascii="Calibri" w:hAnsi="Calibri"/>
                <w:sz w:val="22"/>
              </w:rPr>
              <w:t>$12.16/kg</w:t>
            </w:r>
          </w:p>
        </w:tc>
        <w:tc>
          <w:tcPr>
            <w:tcW w:type="dxa" w:w="1440"/>
          </w:tcPr>
          <w:p>
            <w:r>
              <w:rPr>
                <w:rFonts w:ascii="Calibri" w:hAnsi="Calibri"/>
                <w:sz w:val="22"/>
              </w:rPr>
              <w:t>$10.74/kg</w:t>
            </w:r>
          </w:p>
        </w:tc>
        <w:tc>
          <w:tcPr>
            <w:tcW w:type="dxa" w:w="1440"/>
          </w:tcPr>
          <w:p>
            <w:r>
              <w:rPr>
                <w:rFonts w:ascii="Calibri" w:hAnsi="Calibri"/>
                <w:b/>
                <w:color w:val="30A46C"/>
                <w:sz w:val="22"/>
              </w:rPr>
              <w:t>+13.3%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$267.1M</w:t>
            </w:r>
          </w:p>
        </w:tc>
        <w:tc>
          <w:tcPr>
            <w:tcW w:type="dxa" w:w="1440"/>
          </w:tcPr>
          <w:p>
            <w:r>
              <w:rPr>
                <w:rFonts w:ascii="Calibri" w:hAnsi="Calibri"/>
                <w:sz w:val="22"/>
              </w:rPr>
              <w:t>$204.3M</w:t>
            </w:r>
          </w:p>
        </w:tc>
        <w:tc>
          <w:tcPr>
            <w:tcW w:type="dxa" w:w="1440"/>
          </w:tcPr>
          <w:p>
            <w:r>
              <w:rPr>
                <w:rFonts w:ascii="Calibri" w:hAnsi="Calibri"/>
                <w:b/>
                <w:color w:val="30A46C"/>
                <w:sz w:val="22"/>
              </w:rPr>
              <w:t>+30.7%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Avg. Realized Li Price</w:t>
            </w:r>
          </w:p>
        </w:tc>
        <w:tc>
          <w:tcPr>
            <w:tcW w:type="dxa" w:w="1440"/>
          </w:tcPr>
          <w:p>
            <w:r>
              <w:rPr>
                <w:rFonts w:ascii="Calibri" w:hAnsi="Calibri"/>
                <w:sz w:val="22"/>
              </w:rPr>
              <w:t>$11.92/kg</w:t>
            </w:r>
          </w:p>
        </w:tc>
        <w:tc>
          <w:tcPr>
            <w:tcW w:type="dxa" w:w="1440"/>
          </w:tcPr>
          <w:p>
            <w:r>
              <w:rPr>
                <w:rFonts w:ascii="Calibri" w:hAnsi="Calibri"/>
                <w:sz w:val="22"/>
              </w:rPr>
              <w:t>$12.78/kg</w:t>
            </w:r>
          </w:p>
        </w:tc>
        <w:tc>
          <w:tcPr>
            <w:tcW w:type="dxa" w:w="1440"/>
          </w:tcPr>
          <w:p>
            <w:r>
              <w:rPr>
                <w:rFonts w:ascii="Calibri" w:hAnsi="Calibri"/>
                <w:b/>
                <w:color w:val="E5484D"/>
                <w:sz w:val="22"/>
              </w:rPr>
              <w:t>-6.7%</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$250.7M</w:t>
            </w:r>
          </w:p>
        </w:tc>
        <w:tc>
          <w:tcPr>
            <w:tcW w:type="dxa" w:w="1440"/>
          </w:tcPr>
          <w:p>
            <w:r>
              <w:rPr>
                <w:rFonts w:ascii="Calibri" w:hAnsi="Calibri"/>
                <w:sz w:val="22"/>
              </w:rPr>
              <w:t>$177.6M</w:t>
            </w:r>
          </w:p>
        </w:tc>
        <w:tc>
          <w:tcPr>
            <w:tcW w:type="dxa" w:w="1440"/>
          </w:tcPr>
          <w:p>
            <w:r>
              <w:rPr>
                <w:rFonts w:ascii="Calibri" w:hAnsi="Calibri"/>
                <w:b/>
                <w:color w:val="30A46C"/>
                <w:sz w:val="22"/>
              </w:rPr>
              <w:t>+41.1%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Avg. Realized Li Price</w:t>
            </w:r>
          </w:p>
        </w:tc>
        <w:tc>
          <w:tcPr>
            <w:tcW w:type="dxa" w:w="1440"/>
          </w:tcPr>
          <w:p>
            <w:r>
              <w:rPr>
                <w:rFonts w:ascii="Calibri" w:hAnsi="Calibri"/>
                <w:sz w:val="22"/>
              </w:rPr>
              <w:t>$12.59/kg</w:t>
            </w:r>
          </w:p>
        </w:tc>
        <w:tc>
          <w:tcPr>
            <w:tcW w:type="dxa" w:w="1440"/>
          </w:tcPr>
          <w:p>
            <w:r>
              <w:rPr>
                <w:rFonts w:ascii="Calibri" w:hAnsi="Calibri"/>
                <w:sz w:val="22"/>
              </w:rPr>
              <w:t>$12.31/kg</w:t>
            </w:r>
          </w:p>
        </w:tc>
        <w:tc>
          <w:tcPr>
            <w:tcW w:type="dxa" w:w="1440"/>
          </w:tcPr>
          <w:p>
            <w:r>
              <w:rPr>
                <w:rFonts w:ascii="Calibri" w:hAnsi="Calibri"/>
                <w:sz w:val="22"/>
              </w:rPr>
              <w:t>+2.3%</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$211.5M</w:t>
            </w:r>
          </w:p>
        </w:tc>
        <w:tc>
          <w:tcPr>
            <w:tcW w:type="dxa" w:w="1440"/>
          </w:tcPr>
          <w:p>
            <w:r>
              <w:rPr>
                <w:rFonts w:ascii="Calibri" w:hAnsi="Calibri"/>
                <w:sz w:val="22"/>
              </w:rPr>
              <w:t>$180.7M</w:t>
            </w:r>
          </w:p>
        </w:tc>
        <w:tc>
          <w:tcPr>
            <w:tcW w:type="dxa" w:w="1440"/>
          </w:tcPr>
          <w:p>
            <w:r>
              <w:rPr>
                <w:rFonts w:ascii="Calibri" w:hAnsi="Calibri"/>
                <w:b/>
                <w:color w:val="30A46C"/>
                <w:sz w:val="22"/>
              </w:rPr>
              <w:t>+17.0%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Avg. Realized Li Price</w:t>
            </w:r>
          </w:p>
        </w:tc>
        <w:tc>
          <w:tcPr>
            <w:tcW w:type="dxa" w:w="1440"/>
          </w:tcPr>
          <w:p>
            <w:r>
              <w:rPr>
                <w:rFonts w:ascii="Calibri" w:hAnsi="Calibri"/>
                <w:sz w:val="22"/>
              </w:rPr>
              <w:t>$12.79/kg</w:t>
            </w:r>
          </w:p>
        </w:tc>
        <w:tc>
          <w:tcPr>
            <w:tcW w:type="dxa" w:w="1440"/>
          </w:tcPr>
          <w:p>
            <w:r>
              <w:rPr>
                <w:rFonts w:ascii="Calibri" w:hAnsi="Calibri"/>
                <w:sz w:val="22"/>
              </w:rPr>
              <w:t>$13.22/kg</w:t>
            </w:r>
          </w:p>
        </w:tc>
        <w:tc>
          <w:tcPr>
            <w:tcW w:type="dxa" w:w="1440"/>
          </w:tcPr>
          <w:p>
            <w:r>
              <w:rPr>
                <w:rFonts w:ascii="Calibri" w:hAnsi="Calibri"/>
                <w:sz w:val="22"/>
              </w:rPr>
              <w:t>-3.3%</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$386.4M</w:t>
            </w:r>
          </w:p>
        </w:tc>
        <w:tc>
          <w:tcPr>
            <w:tcW w:type="dxa" w:w="1440"/>
          </w:tcPr>
          <w:p>
            <w:r>
              <w:rPr>
                <w:rFonts w:ascii="Calibri" w:hAnsi="Calibri"/>
                <w:sz w:val="22"/>
              </w:rPr>
              <w:t>$270.4M</w:t>
            </w:r>
          </w:p>
        </w:tc>
        <w:tc>
          <w:tcPr>
            <w:tcW w:type="dxa" w:w="1440"/>
          </w:tcPr>
          <w:p>
            <w:r>
              <w:rPr>
                <w:rFonts w:ascii="Calibri" w:hAnsi="Calibri"/>
                <w:b/>
                <w:color w:val="30A46C"/>
                <w:sz w:val="22"/>
              </w:rPr>
              <w:t>+42.9%</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Avg. Realized Li Price</w:t>
            </w:r>
          </w:p>
        </w:tc>
        <w:tc>
          <w:tcPr>
            <w:tcW w:type="dxa" w:w="1440"/>
          </w:tcPr>
          <w:p>
            <w:r>
              <w:rPr>
                <w:rFonts w:ascii="Calibri" w:hAnsi="Calibri"/>
                <w:sz w:val="22"/>
              </w:rPr>
              <w:t>$15.37/kg</w:t>
            </w:r>
          </w:p>
        </w:tc>
        <w:tc>
          <w:tcPr>
            <w:tcW w:type="dxa" w:w="1440"/>
          </w:tcPr>
          <w:p>
            <w:r>
              <w:rPr>
                <w:rFonts w:ascii="Calibri" w:hAnsi="Calibri"/>
                <w:sz w:val="22"/>
              </w:rPr>
              <w:t>$15.16/kg</w:t>
            </w:r>
          </w:p>
        </w:tc>
        <w:tc>
          <w:tcPr>
            <w:tcW w:type="dxa" w:w="1440"/>
          </w:tcPr>
          <w:p>
            <w:r>
              <w:rPr>
                <w:rFonts w:ascii="Calibri" w:hAnsi="Calibri"/>
                <w:sz w:val="22"/>
              </w:rPr>
              <w:t>+1.4%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ALB has beaten adjusted EBITDA consensus in all 8 of the last 8 quarters, with surprise magnitudes ranging from +14% to +80% — a remarkably consistent beat pattern driven by cost outperformance and pricing upside; realized lithium price has been more mixed (5 beats, 3 misses), reflecting the difficulty of forecasting spot-to-contract pricing lags.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Specialties guidance at Q1 earnings and held total company scenarios steady despite $70–90M in Middle East supply chain headwinds — a confident posture; no post-earnings guidance revisions have been issued, leaving the Q1 call as the sole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Total Revenue</w:t>
            </w:r>
          </w:p>
        </w:tc>
        <w:tc>
          <w:tcPr>
            <w:tcW w:type="dxa" w:w="1728"/>
          </w:tcPr>
          <w:p>
            <w:r>
              <w:rPr>
                <w:rFonts w:ascii="Calibri" w:hAnsi="Calibri"/>
                <w:sz w:val="22"/>
              </w:rPr>
              <w:t>Maintained across all 3 price scenarios</w:t>
            </w:r>
          </w:p>
        </w:tc>
        <w:tc>
          <w:tcPr>
            <w:tcW w:type="dxa" w:w="1728"/>
          </w:tcPr>
          <w:p>
            <w:r>
              <w:rPr>
                <w:rFonts w:ascii="Calibri" w:hAnsi="Calibri"/>
                <w:sz w:val="22"/>
              </w:rPr>
              <w:t>—</w:t>
            </w:r>
          </w:p>
        </w:tc>
        <w:tc>
          <w:tcPr>
            <w:tcW w:type="dxa" w:w="1728"/>
          </w:tcPr>
          <w:p>
            <w:r>
              <w:rPr>
                <w:rFonts w:ascii="Calibri" w:hAnsi="Calibri"/>
                <w:sz w:val="22"/>
              </w:rPr>
              <w:t>$6.50B</w:t>
            </w:r>
          </w:p>
        </w:tc>
        <w:tc>
          <w:tcPr>
            <w:tcW w:type="dxa" w:w="1728"/>
          </w:tcPr>
          <w:p>
            <w:r>
              <w:rPr>
                <w:rFonts w:ascii="Calibri" w:hAnsi="Calibri"/>
                <w:sz w:val="22"/>
              </w:rPr>
              <w:t>No post-earnings revision; scenarios maintained despite Middle East headwinds</w:t>
            </w:r>
          </w:p>
        </w:tc>
      </w:tr>
      <w:tr>
        <w:tc>
          <w:tcPr>
            <w:tcW w:type="dxa" w:w="1728"/>
          </w:tcPr>
          <w:p>
            <w:r>
              <w:rPr>
                <w:rFonts w:ascii="Calibri" w:hAnsi="Calibri"/>
                <w:sz w:val="22"/>
              </w:rPr>
              <w:t>FY 2026 Adj. EBITDA</w:t>
            </w:r>
          </w:p>
        </w:tc>
        <w:tc>
          <w:tcPr>
            <w:tcW w:type="dxa" w:w="1728"/>
          </w:tcPr>
          <w:p>
            <w:r>
              <w:rPr>
                <w:rFonts w:ascii="Calibri" w:hAnsi="Calibri"/>
                <w:sz w:val="22"/>
              </w:rPr>
              <w:t>Maintained across all 3 price scenarios</w:t>
            </w:r>
          </w:p>
        </w:tc>
        <w:tc>
          <w:tcPr>
            <w:tcW w:type="dxa" w:w="1728"/>
          </w:tcPr>
          <w:p>
            <w:r>
              <w:rPr>
                <w:rFonts w:ascii="Calibri" w:hAnsi="Calibri"/>
                <w:sz w:val="22"/>
              </w:rPr>
              <w:t>—</w:t>
            </w:r>
          </w:p>
        </w:tc>
        <w:tc>
          <w:tcPr>
            <w:tcW w:type="dxa" w:w="1728"/>
          </w:tcPr>
          <w:p>
            <w:r>
              <w:rPr>
                <w:rFonts w:ascii="Calibri" w:hAnsi="Calibri"/>
                <w:sz w:val="22"/>
              </w:rPr>
              <w:t>$3.04B</w:t>
            </w:r>
          </w:p>
        </w:tc>
        <w:tc>
          <w:tcPr>
            <w:tcW w:type="dxa" w:w="1728"/>
          </w:tcPr>
          <w:p>
            <w:r>
              <w:rPr>
                <w:rFonts w:ascii="Calibri" w:hAnsi="Calibri"/>
                <w:sz w:val="22"/>
              </w:rPr>
              <w:t>No post-earnings revision; $70–90M headwind offset by lower interest expense + stronger Specialties</w:t>
            </w:r>
          </w:p>
        </w:tc>
      </w:tr>
      <w:tr>
        <w:tc>
          <w:tcPr>
            <w:tcW w:type="dxa" w:w="1728"/>
          </w:tcPr>
          <w:p>
            <w:r>
              <w:rPr>
                <w:rFonts w:ascii="Calibri" w:hAnsi="Calibri"/>
                <w:sz w:val="22"/>
              </w:rPr>
              <w:t>FY 2026 Specialties Revenue</w:t>
            </w:r>
          </w:p>
        </w:tc>
        <w:tc>
          <w:tcPr>
            <w:tcW w:type="dxa" w:w="1728"/>
          </w:tcPr>
          <w:p>
            <w:r>
              <w:rPr>
                <w:rFonts w:ascii="Calibri" w:hAnsi="Calibri"/>
                <w:sz w:val="22"/>
              </w:rPr>
              <w:t>Raised to $1.3B–$1.5B (from prior range)</w:t>
            </w:r>
          </w:p>
        </w:tc>
        <w:tc>
          <w:tcPr>
            <w:tcW w:type="dxa" w:w="1728"/>
          </w:tcPr>
          <w:p>
            <w:r>
              <w:rPr>
                <w:rFonts w:ascii="Calibri" w:hAnsi="Calibri"/>
                <w:sz w:val="22"/>
              </w:rPr>
              <w:t>—</w:t>
            </w:r>
          </w:p>
        </w:tc>
        <w:tc>
          <w:tcPr>
            <w:tcW w:type="dxa" w:w="1728"/>
          </w:tcPr>
          <w:p>
            <w:r>
              <w:rPr>
                <w:rFonts w:ascii="Calibri" w:hAnsi="Calibri"/>
                <w:sz w:val="22"/>
              </w:rPr>
              <w:t>$1.44B consensus</w:t>
            </w:r>
          </w:p>
        </w:tc>
        <w:tc>
          <w:tcPr>
            <w:tcW w:type="dxa" w:w="1728"/>
          </w:tcPr>
          <w:p>
            <w:r>
              <w:rPr>
                <w:rFonts w:ascii="Calibri" w:hAnsi="Calibri"/>
                <w:sz w:val="22"/>
              </w:rPr>
              <w:t>↑ Raised at Q1 2026 earnings call; bromine price/volume opportunities + strong execution</w:t>
            </w:r>
          </w:p>
        </w:tc>
      </w:tr>
      <w:tr>
        <w:tc>
          <w:tcPr>
            <w:tcW w:type="dxa" w:w="1728"/>
          </w:tcPr>
          <w:p>
            <w:r>
              <w:rPr>
                <w:rFonts w:ascii="Calibri" w:hAnsi="Calibri"/>
                <w:sz w:val="22"/>
              </w:rPr>
              <w:t>FY 2026 Specialties Adj. EBITDA</w:t>
            </w:r>
          </w:p>
        </w:tc>
        <w:tc>
          <w:tcPr>
            <w:tcW w:type="dxa" w:w="1728"/>
          </w:tcPr>
          <w:p>
            <w:r>
              <w:rPr>
                <w:rFonts w:ascii="Calibri" w:hAnsi="Calibri"/>
                <w:sz w:val="22"/>
              </w:rPr>
              <w:t>Raised to $225M–$275M; EBITDA margin high teens</w:t>
            </w:r>
          </w:p>
        </w:tc>
        <w:tc>
          <w:tcPr>
            <w:tcW w:type="dxa" w:w="1728"/>
          </w:tcPr>
          <w:p>
            <w:r>
              <w:rPr>
                <w:rFonts w:ascii="Calibri" w:hAnsi="Calibri"/>
                <w:sz w:val="22"/>
              </w:rPr>
              <w:t>—</w:t>
            </w:r>
          </w:p>
        </w:tc>
        <w:tc>
          <w:tcPr>
            <w:tcW w:type="dxa" w:w="1728"/>
          </w:tcPr>
          <w:p>
            <w:r>
              <w:rPr>
                <w:rFonts w:ascii="Calibri" w:hAnsi="Calibri"/>
                <w:sz w:val="22"/>
              </w:rPr>
              <w:t>~$250M midpoint</w:t>
            </w:r>
          </w:p>
        </w:tc>
        <w:tc>
          <w:tcPr>
            <w:tcW w:type="dxa" w:w="1728"/>
          </w:tcPr>
          <w:p>
            <w:r>
              <w:rPr>
                <w:rFonts w:ascii="Calibri" w:hAnsi="Calibri"/>
                <w:sz w:val="22"/>
              </w:rPr>
              <w:t>↑ Raised at Q1 2026 earnings call; reflects AI-driven electronics demand + bromine pricing</w:t>
            </w:r>
          </w:p>
        </w:tc>
      </w:tr>
      <w:tr>
        <w:tc>
          <w:tcPr>
            <w:tcW w:type="dxa" w:w="1728"/>
          </w:tcPr>
          <w:p>
            <w:r>
              <w:rPr>
                <w:rFonts w:ascii="Calibri" w:hAnsi="Calibri"/>
                <w:sz w:val="22"/>
              </w:rPr>
              <w:t>FY 2026 Energy Storage Volume</w:t>
            </w:r>
          </w:p>
        </w:tc>
        <w:tc>
          <w:tcPr>
            <w:tcW w:type="dxa" w:w="1728"/>
          </w:tcPr>
          <w:p>
            <w:r>
              <w:rPr>
                <w:rFonts w:ascii="Calibri" w:hAnsi="Calibri"/>
                <w:sz w:val="22"/>
              </w:rPr>
              <w:t>Unchanged; FY ~234 KT LCE</w:t>
            </w:r>
          </w:p>
        </w:tc>
        <w:tc>
          <w:tcPr>
            <w:tcW w:type="dxa" w:w="1728"/>
          </w:tcPr>
          <w:p>
            <w:r>
              <w:rPr>
                <w:rFonts w:ascii="Calibri" w:hAnsi="Calibri"/>
                <w:sz w:val="22"/>
              </w:rPr>
              <w:t>—</w:t>
            </w:r>
          </w:p>
        </w:tc>
        <w:tc>
          <w:tcPr>
            <w:tcW w:type="dxa" w:w="1728"/>
          </w:tcPr>
          <w:p>
            <w:r>
              <w:rPr>
                <w:rFonts w:ascii="Calibri" w:hAnsi="Calibri"/>
                <w:sz w:val="22"/>
              </w:rPr>
              <w:t>~234 KT LCE</w:t>
            </w:r>
          </w:p>
        </w:tc>
        <w:tc>
          <w:tcPr>
            <w:tcW w:type="dxa" w:w="1728"/>
          </w:tcPr>
          <w:p>
            <w:r>
              <w:rPr>
                <w:rFonts w:ascii="Calibri" w:hAnsi="Calibri"/>
                <w:sz w:val="22"/>
              </w:rPr>
              <w:t>No change; volumes expected to pick up Q2 and Q3 vs. soft Q1 (Chinese New Year seasonality)</w:t>
            </w:r>
          </w:p>
        </w:tc>
      </w:tr>
      <w:tr>
        <w:tc>
          <w:tcPr>
            <w:tcW w:type="dxa" w:w="1728"/>
          </w:tcPr>
          <w:p>
            <w:r>
              <w:rPr>
                <w:rFonts w:ascii="Calibri" w:hAnsi="Calibri"/>
                <w:sz w:val="22"/>
              </w:rPr>
              <w:t>FY 2026 CapEx</w:t>
            </w:r>
          </w:p>
        </w:tc>
        <w:tc>
          <w:tcPr>
            <w:tcW w:type="dxa" w:w="1728"/>
          </w:tcPr>
          <w:p>
            <w:r>
              <w:rPr>
                <w:rFonts w:ascii="Calibri" w:hAnsi="Calibri"/>
                <w:sz w:val="22"/>
              </w:rPr>
              <w:t>$550M–$600M</w:t>
            </w:r>
          </w:p>
        </w:tc>
        <w:tc>
          <w:tcPr>
            <w:tcW w:type="dxa" w:w="1728"/>
          </w:tcPr>
          <w:p>
            <w:r>
              <w:rPr>
                <w:rFonts w:ascii="Calibri" w:hAnsi="Calibri"/>
                <w:sz w:val="22"/>
              </w:rPr>
              <w:t>—</w:t>
            </w:r>
          </w:p>
        </w:tc>
        <w:tc>
          <w:tcPr>
            <w:tcW w:type="dxa" w:w="1728"/>
          </w:tcPr>
          <w:p>
            <w:r>
              <w:rPr>
                <w:rFonts w:ascii="Calibri" w:hAnsi="Calibri"/>
                <w:sz w:val="22"/>
              </w:rPr>
              <w:t>$570M consensus</w:t>
            </w:r>
          </w:p>
        </w:tc>
        <w:tc>
          <w:tcPr>
            <w:tcW w:type="dxa" w:w="1728"/>
          </w:tcPr>
          <w:p>
            <w:r>
              <w:rPr>
                <w:rFonts w:ascii="Calibri" w:hAnsi="Calibri"/>
                <w:sz w:val="22"/>
              </w:rPr>
              <w:t>Unchanged; ~65% reduction vs. prior year; little to no incremental CapEx needed for volume growth phase</w:t>
            </w:r>
          </w:p>
        </w:tc>
      </w:tr>
      <w:tr>
        <w:tc>
          <w:tcPr>
            <w:tcW w:type="dxa" w:w="1728"/>
          </w:tcPr>
          <w:p>
            <w:r>
              <w:rPr>
                <w:rFonts w:ascii="Calibri" w:hAnsi="Calibri"/>
                <w:sz w:val="22"/>
              </w:rPr>
              <w:t>FY 2026 OCF Conversion</w:t>
            </w:r>
          </w:p>
        </w:tc>
        <w:tc>
          <w:tcPr>
            <w:tcW w:type="dxa" w:w="1728"/>
          </w:tcPr>
          <w:p>
            <w:r>
              <w:rPr>
                <w:rFonts w:ascii="Calibri" w:hAnsi="Calibri"/>
                <w:sz w:val="22"/>
              </w:rPr>
              <w:t>60%–70% at $20/kg scenario</w:t>
            </w:r>
          </w:p>
        </w:tc>
        <w:tc>
          <w:tcPr>
            <w:tcW w:type="dxa" w:w="1728"/>
          </w:tcPr>
          <w:p>
            <w:r>
              <w:rPr>
                <w:rFonts w:ascii="Calibri" w:hAnsi="Calibri"/>
                <w:sz w:val="22"/>
              </w:rPr>
              <w:t>—</w:t>
            </w:r>
          </w:p>
        </w:tc>
        <w:tc>
          <w:tcPr>
            <w:tcW w:type="dxa" w:w="1728"/>
          </w:tcPr>
          <w:p>
            <w:r>
              <w:rPr>
                <w:rFonts w:ascii="Calibri" w:hAnsi="Calibri"/>
                <w:sz w:val="22"/>
              </w:rPr>
              <w:t>~$1.11B FCF consensus</w:t>
            </w:r>
          </w:p>
        </w:tc>
        <w:tc>
          <w:tcPr>
            <w:tcW w:type="dxa" w:w="1728"/>
          </w:tcPr>
          <w:p>
            <w:r>
              <w:rPr>
                <w:rFonts w:ascii="Calibri" w:hAnsi="Calibri"/>
                <w:sz w:val="22"/>
              </w:rPr>
              <w:t>Unchanged; balance sheet target: net leverage well below 1x by year-end</w:t>
            </w:r>
          </w:p>
        </w:tc>
      </w:tr>
      <w:tr>
        <w:tc>
          <w:tcPr>
            <w:tcW w:type="dxa" w:w="1728"/>
          </w:tcPr>
          <w:p>
            <w:r>
              <w:rPr>
                <w:rFonts w:ascii="Calibri" w:hAnsi="Calibri"/>
                <w:sz w:val="22"/>
              </w:rPr>
              <w:t>Q2 2026 Energy Storage</w:t>
            </w:r>
          </w:p>
        </w:tc>
        <w:tc>
          <w:tcPr>
            <w:tcW w:type="dxa" w:w="1728"/>
          </w:tcPr>
          <w:p>
            <w:r>
              <w:rPr>
                <w:rFonts w:ascii="Calibri" w:hAnsi="Calibri"/>
                <w:sz w:val="22"/>
              </w:rPr>
              <w:t>Net sales and EBITDA up sequentially (flat Li pricing assumed); EBITDA margin down sequentially (spodumene timing + supply chain costs)</w:t>
            </w:r>
          </w:p>
        </w:tc>
        <w:tc>
          <w:tcPr>
            <w:tcW w:type="dxa" w:w="1728"/>
          </w:tcPr>
          <w:p>
            <w:r>
              <w:rPr>
                <w:rFonts w:ascii="Calibri" w:hAnsi="Calibri"/>
                <w:sz w:val="22"/>
              </w:rPr>
              <w:t>—</w:t>
            </w:r>
          </w:p>
        </w:tc>
        <w:tc>
          <w:tcPr>
            <w:tcW w:type="dxa" w:w="1728"/>
          </w:tcPr>
          <w:p>
            <w:r>
              <w:rPr>
                <w:rFonts w:ascii="Calibri" w:hAnsi="Calibri"/>
                <w:sz w:val="22"/>
              </w:rPr>
              <w:t>Revenue $1.24B; EBITDA $791M total</w:t>
            </w:r>
          </w:p>
        </w:tc>
        <w:tc>
          <w:tcPr>
            <w:tcW w:type="dxa" w:w="1728"/>
          </w:tcPr>
          <w:p>
            <w:r>
              <w:rPr>
                <w:rFonts w:ascii="Calibri" w:hAnsi="Calibri"/>
                <w:sz w:val="22"/>
              </w:rPr>
              <w:t>Margin headwind from spodumene inventory timing and Middle East supply chain costs flagged explicitly</w:t>
            </w:r>
          </w:p>
        </w:tc>
      </w:tr>
      <w:tr>
        <w:tc>
          <w:tcPr>
            <w:tcW w:type="dxa" w:w="1728"/>
          </w:tcPr>
          <w:p>
            <w:r>
              <w:rPr>
                <w:rFonts w:ascii="Calibri" w:hAnsi="Calibri"/>
                <w:sz w:val="22"/>
              </w:rPr>
              <w:t>Q2 2026 Specialties</w:t>
            </w:r>
          </w:p>
        </w:tc>
        <w:tc>
          <w:tcPr>
            <w:tcW w:type="dxa" w:w="1728"/>
          </w:tcPr>
          <w:p>
            <w:r>
              <w:rPr>
                <w:rFonts w:ascii="Calibri" w:hAnsi="Calibri"/>
                <w:sz w:val="22"/>
              </w:rPr>
              <w:t>Net sales up sequentially; EBITDA up modestly; Jordan Bromine JV fully recovered from Dec 2025 flooding</w:t>
            </w:r>
          </w:p>
        </w:tc>
        <w:tc>
          <w:tcPr>
            <w:tcW w:type="dxa" w:w="1728"/>
          </w:tcPr>
          <w:p>
            <w:r>
              <w:rPr>
                <w:rFonts w:ascii="Calibri" w:hAnsi="Calibri"/>
                <w:sz w:val="22"/>
              </w:rPr>
              <w:t>—</w:t>
            </w:r>
          </w:p>
        </w:tc>
        <w:tc>
          <w:tcPr>
            <w:tcW w:type="dxa" w:w="1728"/>
          </w:tcPr>
          <w:p>
            <w:r>
              <w:rPr>
                <w:rFonts w:ascii="Calibri" w:hAnsi="Calibri"/>
                <w:sz w:val="22"/>
              </w:rPr>
              <w:t>$367M revenue consensus</w:t>
            </w:r>
          </w:p>
        </w:tc>
        <w:tc>
          <w:tcPr>
            <w:tcW w:type="dxa" w:w="1728"/>
          </w:tcPr>
          <w:p>
            <w:r>
              <w:rPr>
                <w:rFonts w:ascii="Calibri" w:hAnsi="Calibri"/>
                <w:sz w:val="22"/>
              </w:rPr>
              <w:t>Favorable price/volume mix partially offset by higher supply chain costs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up materially since the Q1 print — Q2 2026 EBITDA consensus rose ~11% post-earnings — tracking management's constructive posture; FY 2026 estimates are also higher, suggesting the street is giving credit to the raised Specialties guide and the $60M interest expense tailwind, though the gap between consensus and the upside $27/kg spot scenario represents meaningful unpriced optionality.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$1,599.1M</w:t>
            </w:r>
          </w:p>
        </w:tc>
        <w:tc>
          <w:tcPr>
            <w:tcW w:type="dxa" w:w="1080"/>
          </w:tcPr>
          <w:p>
            <w:r>
              <w:rPr>
                <w:rFonts w:ascii="Calibri" w:hAnsi="Calibri"/>
                <w:sz w:val="22"/>
              </w:rPr>
              <w:t>$1,644.9M</w:t>
            </w:r>
          </w:p>
        </w:tc>
        <w:tc>
          <w:tcPr>
            <w:tcW w:type="dxa" w:w="1080"/>
          </w:tcPr>
          <w:p>
            <w:r>
              <w:rPr>
                <w:rFonts w:ascii="Calibri" w:hAnsi="Calibri"/>
                <w:b/>
                <w:color w:val="30A46C"/>
                <w:sz w:val="22"/>
              </w:rPr>
              <w:t>+2.9%</w:t>
            </w:r>
          </w:p>
        </w:tc>
        <w:tc>
          <w:tcPr>
            <w:tcW w:type="dxa" w:w="1080"/>
          </w:tcPr>
          <w:p>
            <w:r>
              <w:rPr>
                <w:rFonts w:ascii="Calibri" w:hAnsi="Calibri"/>
                <w:sz w:val="22"/>
              </w:rPr>
              <w:t>Up sequentially (no specific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$710.5M</w:t>
            </w:r>
          </w:p>
        </w:tc>
        <w:tc>
          <w:tcPr>
            <w:tcW w:type="dxa" w:w="1080"/>
          </w:tcPr>
          <w:p>
            <w:r>
              <w:rPr>
                <w:rFonts w:ascii="Calibri" w:hAnsi="Calibri"/>
                <w:sz w:val="22"/>
              </w:rPr>
              <w:t>$790.6M</w:t>
            </w:r>
          </w:p>
        </w:tc>
        <w:tc>
          <w:tcPr>
            <w:tcW w:type="dxa" w:w="1080"/>
          </w:tcPr>
          <w:p>
            <w:r>
              <w:rPr>
                <w:rFonts w:ascii="Calibri" w:hAnsi="Calibri"/>
                <w:b/>
                <w:color w:val="30A46C"/>
                <w:sz w:val="22"/>
              </w:rPr>
              <w:t>+11.3%</w:t>
            </w:r>
          </w:p>
        </w:tc>
        <w:tc>
          <w:tcPr>
            <w:tcW w:type="dxa" w:w="1080"/>
          </w:tcPr>
          <w:p>
            <w:r>
              <w:rPr>
                <w:rFonts w:ascii="Calibri" w:hAnsi="Calibri"/>
                <w:sz w:val="22"/>
              </w:rPr>
              <w:t>Up sequentially (no specific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Adj. — Q2 2026</w:t>
            </w:r>
          </w:p>
        </w:tc>
        <w:tc>
          <w:tcPr>
            <w:tcW w:type="dxa" w:w="1080"/>
          </w:tcPr>
          <w:p>
            <w:r>
              <w:rPr>
                <w:rFonts w:ascii="Calibri" w:hAnsi="Calibri"/>
                <w:sz w:val="22"/>
              </w:rPr>
              <w:t>$2.99</w:t>
            </w:r>
          </w:p>
        </w:tc>
        <w:tc>
          <w:tcPr>
            <w:tcW w:type="dxa" w:w="1080"/>
          </w:tcPr>
          <w:p>
            <w:r>
              <w:rPr>
                <w:rFonts w:ascii="Calibri" w:hAnsi="Calibri"/>
                <w:sz w:val="22"/>
              </w:rPr>
              <w:t>$3.51</w:t>
            </w:r>
          </w:p>
        </w:tc>
        <w:tc>
          <w:tcPr>
            <w:tcW w:type="dxa" w:w="1080"/>
          </w:tcPr>
          <w:p>
            <w:r>
              <w:rPr>
                <w:rFonts w:ascii="Calibri" w:hAnsi="Calibri"/>
                <w:b/>
                <w:color w:val="30A46C"/>
                <w:sz w:val="22"/>
              </w:rPr>
              <w:t>+17.4%</w:t>
            </w:r>
          </w:p>
        </w:tc>
        <w:tc>
          <w:tcPr>
            <w:tcW w:type="dxa" w:w="1080"/>
          </w:tcPr>
          <w:p>
            <w:r>
              <w:rPr>
                <w:rFonts w:ascii="Calibri" w:hAnsi="Calibri"/>
                <w:sz w:val="22"/>
              </w:rPr>
              <w:t>No specific Q2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Avg. Realized Li Price — Q2 2026</w:t>
            </w:r>
          </w:p>
        </w:tc>
        <w:tc>
          <w:tcPr>
            <w:tcW w:type="dxa" w:w="1080"/>
          </w:tcPr>
          <w:p>
            <w:r>
              <w:rPr>
                <w:rFonts w:ascii="Calibri" w:hAnsi="Calibri"/>
                <w:sz w:val="22"/>
              </w:rPr>
              <w:t>$20.61/kg</w:t>
            </w:r>
          </w:p>
        </w:tc>
        <w:tc>
          <w:tcPr>
            <w:tcW w:type="dxa" w:w="1080"/>
          </w:tcPr>
          <w:p>
            <w:r>
              <w:rPr>
                <w:rFonts w:ascii="Calibri" w:hAnsi="Calibri"/>
                <w:sz w:val="22"/>
              </w:rPr>
              <w:t>$20.88/kg</w:t>
            </w:r>
          </w:p>
        </w:tc>
        <w:tc>
          <w:tcPr>
            <w:tcW w:type="dxa" w:w="1080"/>
          </w:tcPr>
          <w:p>
            <w:r>
              <w:rPr>
                <w:rFonts w:ascii="Calibri" w:hAnsi="Calibri"/>
                <w:sz w:val="22"/>
              </w:rPr>
              <w:t>+1.3%</w:t>
            </w:r>
          </w:p>
        </w:tc>
        <w:tc>
          <w:tcPr>
            <w:tcW w:type="dxa" w:w="1080"/>
          </w:tcPr>
          <w:p>
            <w:r>
              <w:rPr>
                <w:rFonts w:ascii="Calibri" w:hAnsi="Calibri"/>
                <w:sz w:val="22"/>
              </w:rPr>
              <w:t>$20/kg scenario (upside if spot ~$27/kg holds)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+4.4% above $20/kg midpoint</w:t>
            </w:r>
          </w:p>
        </w:tc>
      </w:tr>
      <w:tr>
        <w:tc>
          <w:tcPr>
            <w:tcW w:type="dxa" w:w="1080"/>
          </w:tcPr>
          <w:p>
            <w:r>
              <w:rPr>
                <w:rFonts w:ascii="Calibri" w:hAnsi="Calibri"/>
                <w:sz w:val="22"/>
              </w:rPr>
              <w:t>Total Revenue — FY 2026</w:t>
            </w:r>
          </w:p>
        </w:tc>
        <w:tc>
          <w:tcPr>
            <w:tcW w:type="dxa" w:w="1080"/>
          </w:tcPr>
          <w:p>
            <w:r>
              <w:rPr>
                <w:rFonts w:ascii="Calibri" w:hAnsi="Calibri"/>
                <w:sz w:val="22"/>
              </w:rPr>
              <w:t>$6,276.7M</w:t>
            </w:r>
          </w:p>
        </w:tc>
        <w:tc>
          <w:tcPr>
            <w:tcW w:type="dxa" w:w="1080"/>
          </w:tcPr>
          <w:p>
            <w:r>
              <w:rPr>
                <w:rFonts w:ascii="Calibri" w:hAnsi="Calibri"/>
                <w:sz w:val="22"/>
              </w:rPr>
              <w:t>$6,497.5M</w:t>
            </w:r>
          </w:p>
        </w:tc>
        <w:tc>
          <w:tcPr>
            <w:tcW w:type="dxa" w:w="1080"/>
          </w:tcPr>
          <w:p>
            <w:r>
              <w:rPr>
                <w:rFonts w:ascii="Calibri" w:hAnsi="Calibri"/>
                <w:b/>
                <w:color w:val="30A46C"/>
                <w:sz w:val="22"/>
              </w:rPr>
              <w:t>+3.5%</w:t>
            </w:r>
          </w:p>
        </w:tc>
        <w:tc>
          <w:tcPr>
            <w:tcW w:type="dxa" w:w="1080"/>
          </w:tcPr>
          <w:p>
            <w:r>
              <w:rPr>
                <w:rFonts w:ascii="Calibri" w:hAnsi="Calibri"/>
                <w:sz w:val="22"/>
              </w:rPr>
              <w:t>Maintained across all 3 scenarios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$2,838.4M</w:t>
            </w:r>
          </w:p>
        </w:tc>
        <w:tc>
          <w:tcPr>
            <w:tcW w:type="dxa" w:w="1080"/>
          </w:tcPr>
          <w:p>
            <w:r>
              <w:rPr>
                <w:rFonts w:ascii="Calibri" w:hAnsi="Calibri"/>
                <w:sz w:val="22"/>
              </w:rPr>
              <w:t>$3,043.6M</w:t>
            </w:r>
          </w:p>
        </w:tc>
        <w:tc>
          <w:tcPr>
            <w:tcW w:type="dxa" w:w="1080"/>
          </w:tcPr>
          <w:p>
            <w:r>
              <w:rPr>
                <w:rFonts w:ascii="Calibri" w:hAnsi="Calibri"/>
                <w:b/>
                <w:color w:val="30A46C"/>
                <w:sz w:val="22"/>
              </w:rPr>
              <w:t>+7.2%</w:t>
            </w:r>
          </w:p>
        </w:tc>
        <w:tc>
          <w:tcPr>
            <w:tcW w:type="dxa" w:w="1080"/>
          </w:tcPr>
          <w:p>
            <w:r>
              <w:rPr>
                <w:rFonts w:ascii="Calibri" w:hAnsi="Calibri"/>
                <w:sz w:val="22"/>
              </w:rPr>
              <w:t>Maintained across all 3 scenarios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Adj. — FY 2026</w:t>
            </w:r>
          </w:p>
        </w:tc>
        <w:tc>
          <w:tcPr>
            <w:tcW w:type="dxa" w:w="1080"/>
          </w:tcPr>
          <w:p>
            <w:r>
              <w:rPr>
                <w:rFonts w:ascii="Calibri" w:hAnsi="Calibri"/>
                <w:sz w:val="22"/>
              </w:rPr>
              <w:t>$12.89</w:t>
            </w:r>
          </w:p>
        </w:tc>
        <w:tc>
          <w:tcPr>
            <w:tcW w:type="dxa" w:w="1080"/>
          </w:tcPr>
          <w:p>
            <w:r>
              <w:rPr>
                <w:rFonts w:ascii="Calibri" w:hAnsi="Calibri"/>
                <w:sz w:val="22"/>
              </w:rPr>
              <w:t>$13.84</w:t>
            </w:r>
          </w:p>
        </w:tc>
        <w:tc>
          <w:tcPr>
            <w:tcW w:type="dxa" w:w="1080"/>
          </w:tcPr>
          <w:p>
            <w:r>
              <w:rPr>
                <w:rFonts w:ascii="Calibri" w:hAnsi="Calibri"/>
                <w:b/>
                <w:color w:val="30A46C"/>
                <w:sz w:val="22"/>
              </w:rPr>
              <w:t>+7.4%</w:t>
            </w:r>
          </w:p>
        </w:tc>
        <w:tc>
          <w:tcPr>
            <w:tcW w:type="dxa" w:w="1080"/>
          </w:tcPr>
          <w:p>
            <w:r>
              <w:rPr>
                <w:rFonts w:ascii="Calibri" w:hAnsi="Calibri"/>
                <w:sz w:val="22"/>
              </w:rPr>
              <w:t>No specific FY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Baseline as of May 12, 2026 (~5 trading days post Q1 earnings). Current consensus as of August 4, 2026. Guidance from Q1 2026 earnings call transcript (May 6–7, 2026). Estimates have moved consistently higher across all key metrics since the Q1 print, with EPS revisions (+17%) outpacing revenue revisions (+3%), reflecting the operating leverage benefit of higher lithium pricing flowing through to the bottom 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ALB has dramatically underperformed since Q1 earnings — down ~38% from its May 11 peak vs. the LIT ETF down ~22% — driven by multiple compression and sentiment reversal as lithium spot prices softened from their Q1 highs, creating a low-expectations setup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ALB vs. SQM vs. LIT ETF — Indexed to 100 at Q1 2026 Earnings Date (May 6, 2026). Source: Yahoo Finance.</w:t>
      </w:r>
    </w:p>
    <w:p>
      <w:r>
        <w:rPr>
          <w:rFonts w:ascii="Calibri" w:hAnsi="Calibri"/>
          <w:color w:val="525866"/>
          <w:sz w:val="22"/>
        </w:rPr>
        <w:t>ALB opened at $192.61 on May 6 (Q1 earnings day) and rallied to a peak of ~$210 on May 11 following the blowout Q1 print and a wave of analyst upgrades (Argus to $230, Deutsche Bank to $250, UBS to $264, Scotiabank to $215). The stock then reversed sharply, falling ~38% from peak to ~$119 by early August, significantly underperforming both SQM (down ~27% from its May peak) and the LIT ETF (down ~22%). The selloff was driven by: (1) lithium spot price softening from ~$27/kg in April–May toward the $24–25/kg range by June, raising questions about the durability of the Q1 pricing tailwind; (2) Middle East supply chain cost concerns; and (3) Jefferies cutting its price target from $244 to $211 on June 30. A brief recovery in mid-June (+16% in two sessions) was triggered by a cluster of upgrades (Vertical Research to Buy at $224, RBC to $257 Outperform, Citigroup upgrade to Buy at $225 on June 18), but the stock gave back those gains through July. At ~$119, ALB trades at a significant discount to the street mean target of ~$202, implying ~70% upside — a setup that reflects deep skepticism about lithium price sustainability rather than fundamental deterioration. Sector ETF used: LIT (Global X Lithium &amp; Battery Tech ETF), which captures ALB's lithium sub-sector peers including SQM, Albemarle, and battery materials companies. Source: Yahoo Finance /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sharp reversal in ALB's stock despite a strong fundamental print — driven by lithium spot price volatility and analyst target cuts — which has reset the bar low heading into Q2 and creates an asymmetric setup if pricing holds near $20–27/kg.</w:t>
      </w:r>
    </w:p>
    <w:p>
      <w:pPr>
        <w:pStyle w:val="ListBullet"/>
        <w:ind w:left="360" w:hanging="360"/>
      </w:pPr>
      <w:r>
        <w:rPr>
          <w:rFonts w:ascii="Calibri" w:hAnsi="Calibri"/>
          <w:b/>
          <w:color w:val="525866"/>
          <w:sz w:val="22"/>
        </w:rPr>
        <w:t>August 5, 2026 — Q2 2026 Earnings Release (after market close):</w:t>
      </w:r>
      <w:r>
        <w:rPr>
          <w:rFonts w:ascii="Calibri" w:hAnsi="Calibri"/>
          <w:color w:val="525866"/>
          <w:sz w:val="22"/>
        </w:rPr>
        <w:t xml:space="preserve"> ALB to report Q2 2026 results after NYSE close; conference call August 6 at 8am ET. Consensus expects $1.64B revenue and $3.51 adj. EPS. Implication: Key focus will be realized lithium pricing, Energy Storage EBITDA margin (flagged to decline sequentially due to spodumene timing), and any update to FY guidance scenarios.</w:t>
      </w:r>
    </w:p>
    <w:p>
      <w:pPr>
        <w:pStyle w:val="ListBullet"/>
        <w:ind w:left="360" w:hanging="360"/>
      </w:pPr>
      <w:r>
        <w:rPr>
          <w:rFonts w:ascii="Calibri" w:hAnsi="Calibri"/>
          <w:b/>
          <w:color w:val="525866"/>
          <w:sz w:val="22"/>
        </w:rPr>
        <w:t>July 21, 2026 — SQM/Wesfarmers Approve Mt Holland Lithium Expansion:</w:t>
      </w:r>
      <w:r>
        <w:rPr>
          <w:rFonts w:ascii="Calibri" w:hAnsi="Calibri"/>
          <w:color w:val="525866"/>
          <w:sz w:val="22"/>
        </w:rPr>
        <w:t xml:space="preserve"> Covalent Lithium (SQM/Wesfarmers JV) approved final investment decision to double spodumene concentrate production at Mt Holland from ~380 KT/yr to ~760 KT/yr at 5.5% Li₂O; construction begins H2 2027, first production H1 2030. SQM's share of CapEx: $450–$500M. Implication: Bearish long-term supply signal for lithium market; adds to supply overhang concerns post-2029, though near-term demand/supply balance remains tight.</w:t>
      </w:r>
    </w:p>
    <w:p>
      <w:pPr>
        <w:pStyle w:val="ListBullet"/>
        <w:ind w:left="360" w:hanging="360"/>
      </w:pPr>
      <w:r>
        <w:rPr>
          <w:rFonts w:ascii="Calibri" w:hAnsi="Calibri"/>
          <w:b/>
          <w:color w:val="525866"/>
          <w:sz w:val="22"/>
        </w:rPr>
        <w:t>July 22, 2026 — Zacks Downgrade to Hold:</w:t>
      </w:r>
      <w:r>
        <w:rPr>
          <w:rFonts w:ascii="Calibri" w:hAnsi="Calibri"/>
          <w:color w:val="525866"/>
          <w:sz w:val="22"/>
        </w:rPr>
        <w:t xml:space="preserve"> Zacks downgraded ALB from Strong-Buy to Hold. Implication: Adds to negative sentiment; however, 15 of 27 analysts still rate Buy/Strong-Buy with average target ~$202.</w:t>
      </w:r>
    </w:p>
    <w:p>
      <w:pPr>
        <w:pStyle w:val="ListBullet"/>
        <w:ind w:left="360" w:hanging="360"/>
      </w:pPr>
      <w:r>
        <w:rPr>
          <w:rFonts w:ascii="Calibri" w:hAnsi="Calibri"/>
          <w:b/>
          <w:color w:val="525866"/>
          <w:sz w:val="22"/>
        </w:rPr>
        <w:t>June 30, 2026 — Jefferies Price Target Cut ($244 → $211, Buy maintained):</w:t>
      </w:r>
      <w:r>
        <w:rPr>
          <w:rFonts w:ascii="Calibri" w:hAnsi="Calibri"/>
          <w:color w:val="525866"/>
          <w:sz w:val="22"/>
        </w:rPr>
        <w:t xml:space="preserve"> Jefferies lowered PT citing softer near-term lithium pricing trajectory. Implication: Largest PT cut post-Q1; contributed to late-June stock weakness.</w:t>
      </w:r>
    </w:p>
    <w:p>
      <w:pPr>
        <w:pStyle w:val="ListBullet"/>
        <w:ind w:left="360" w:hanging="360"/>
      </w:pPr>
      <w:r>
        <w:rPr>
          <w:rFonts w:ascii="Calibri" w:hAnsi="Calibri"/>
          <w:b/>
          <w:color w:val="525866"/>
          <w:sz w:val="22"/>
        </w:rPr>
        <w:t>June 18, 2026 — Citigroup Upgrade to Buy ($225 target):</w:t>
      </w:r>
      <w:r>
        <w:rPr>
          <w:rFonts w:ascii="Calibri" w:hAnsi="Calibri"/>
          <w:color w:val="525866"/>
          <w:sz w:val="22"/>
        </w:rPr>
        <w:t xml:space="preserve"> Citi upgraded ALB to Buy, citing the pullback from May highs as a buying opportunity. Implication: Positive signal from a major bank; stock rallied ~16% in two sessions around this cluster of upgrades.</w:t>
      </w:r>
    </w:p>
    <w:p>
      <w:pPr>
        <w:pStyle w:val="ListBullet"/>
        <w:ind w:left="360" w:hanging="360"/>
      </w:pPr>
      <w:r>
        <w:rPr>
          <w:rFonts w:ascii="Calibri" w:hAnsi="Calibri"/>
          <w:b/>
          <w:color w:val="525866"/>
          <w:sz w:val="22"/>
        </w:rPr>
        <w:t>May 26, 2026 — RBC Raises Target to $257 (Outperform):</w:t>
      </w:r>
      <w:r>
        <w:rPr>
          <w:rFonts w:ascii="Calibri" w:hAnsi="Calibri"/>
          <w:color w:val="525866"/>
          <w:sz w:val="22"/>
        </w:rPr>
        <w:t xml:space="preserve"> RBC cited brownfield volume growth and a structurally tight lithium market through at least 2027. Implication: Most bullish major-bank target; supports the thesis that ALB's resource quality and cost position are undervalued.</w:t>
      </w:r>
    </w:p>
    <w:p>
      <w:pPr>
        <w:pStyle w:val="ListBullet"/>
        <w:ind w:left="360" w:hanging="360"/>
      </w:pPr>
      <w:r>
        <w:rPr>
          <w:rFonts w:ascii="Calibri" w:hAnsi="Calibri"/>
          <w:b/>
          <w:color w:val="525866"/>
          <w:sz w:val="22"/>
        </w:rPr>
        <w:t>May 26, 2026 — Vertical Research Upgrades to Buy ($224 target):</w:t>
      </w:r>
      <w:r>
        <w:rPr>
          <w:rFonts w:ascii="Calibri" w:hAnsi="Calibri"/>
          <w:color w:val="525866"/>
          <w:sz w:val="22"/>
        </w:rPr>
        <w:t xml:space="preserve"> Called the post-May 11 pullback a buying opportunity tied to tightening lithium supply. Implication: Adds to bullish analyst cluster post-Q1.</w:t>
      </w:r>
    </w:p>
    <w:p>
      <w:pPr>
        <w:pStyle w:val="ListBullet"/>
        <w:ind w:left="360" w:hanging="360"/>
      </w:pPr>
      <w:r>
        <w:rPr>
          <w:rFonts w:ascii="Calibri" w:hAnsi="Calibri"/>
          <w:b/>
          <w:color w:val="525866"/>
          <w:sz w:val="22"/>
        </w:rPr>
        <w:t>May 14, 2026 — Scotiabank Raises Target ($200 → $215, Outperform):</w:t>
      </w:r>
      <w:r>
        <w:rPr>
          <w:rFonts w:ascii="Calibri" w:hAnsi="Calibri"/>
          <w:color w:val="525866"/>
          <w:sz w:val="22"/>
        </w:rPr>
        <w:t xml:space="preserve"> Raised PT post-Q1 beat; noted ALB is being valued comparably to lithium peers with no near-term production, a signal that expectations may already reflect a best-case outcome. Implication: Cautiously bullish; flags valuation risk.</w:t>
      </w:r>
    </w:p>
    <w:p>
      <w:pPr>
        <w:pStyle w:val="ListBullet"/>
        <w:ind w:left="360" w:hanging="360"/>
      </w:pPr>
      <w:r>
        <w:rPr>
          <w:rFonts w:ascii="Calibri" w:hAnsi="Calibri"/>
          <w:b/>
          <w:color w:val="525866"/>
          <w:sz w:val="22"/>
        </w:rPr>
        <w:t>May 11, 2026 — Wave of Post-Q1 Analyst Upgrades:</w:t>
      </w:r>
      <w:r>
        <w:rPr>
          <w:rFonts w:ascii="Calibri" w:hAnsi="Calibri"/>
          <w:color w:val="525866"/>
          <w:sz w:val="22"/>
        </w:rPr>
        <w:t xml:space="preserve"> Argus raised PT to $230 (Buy); Deutsche Bank raised to $250 (Buy); UBS raised to $264 (Buy); Zacks upgraded to Strong-Buy. Implication: Broad-based bullish reaction to Q1 beat; set the stage for the May 11 peak before the reversal.</w:t>
      </w:r>
    </w:p>
    <w:p>
      <w:pPr>
        <w:pStyle w:val="ListBullet"/>
        <w:ind w:left="360" w:hanging="360"/>
      </w:pPr>
      <w:r>
        <w:rPr>
          <w:rFonts w:ascii="Calibri" w:hAnsi="Calibri"/>
          <w:b/>
          <w:color w:val="525866"/>
          <w:sz w:val="22"/>
        </w:rPr>
        <w:t>May 6–7, 2026 — Q1 2026 Earnings Beat:</w:t>
      </w:r>
      <w:r>
        <w:rPr>
          <w:rFonts w:ascii="Calibri" w:hAnsi="Calibri"/>
          <w:color w:val="525866"/>
          <w:sz w:val="22"/>
        </w:rPr>
        <w:t xml:space="preserve"> ALB reported Q1 adj. EBITDA of $663.8M vs. $449M consensus (+47.8% beat); revenue $1.43B vs. $1.31B consensus. Raised Specialties FY guidance. Repaid $1.3B debt, reducing net leverage to ~1x. Implication: Established the high-water mark for 2026 expectations; the Q2 bar is now set against this strong Q1 baseline.</w:t>
      </w:r>
    </w:p>
    <w:p>
      <w:pPr>
        <w:pStyle w:val="ListBullet"/>
        <w:ind w:left="360" w:hanging="360"/>
      </w:pPr>
      <w:r>
        <w:rPr>
          <w:rFonts w:ascii="Calibri" w:hAnsi="Calibri"/>
          <w:b/>
          <w:color w:val="525866"/>
          <w:sz w:val="22"/>
        </w:rPr>
        <w:t>Lithium Market: Q2 2026 Price Trajectory:</w:t>
      </w:r>
      <w:r>
        <w:rPr>
          <w:rFonts w:ascii="Calibri" w:hAnsi="Calibri"/>
          <w:color w:val="525866"/>
          <w:sz w:val="22"/>
        </w:rPr>
        <w:t xml:space="preserve"> Lithium carbonate spot prices peaked near $27/kg in April–May 2026 before softening to ~$24,800–25,200/tonne by early June. The 2025 surplus of ~141 KT LCE is projected to shrink to ~109 KT by end-2026, with some analysts (UBS, Morgan Stanley) warning of potential deficit if project timelines slip. Implication: Near-term pricing environment is constructive but volatile; the one-quarter contract lag means Q2 realized prices should reflect the elevated April–May spot levels, a potential positive surprise.</w:t>
      </w:r>
    </w:p>
    <w:p>
      <w:pPr>
        <w:pStyle w:val="ListBullet"/>
        <w:ind w:left="360" w:hanging="360"/>
      </w:pPr>
      <w:r>
        <w:rPr>
          <w:rFonts w:ascii="Calibri" w:hAnsi="Calibri"/>
          <w:b/>
          <w:color w:val="525866"/>
          <w:sz w:val="22"/>
        </w:rPr>
        <w:t>Kings Mountain Federal Mining Permits Received:</w:t>
      </w:r>
      <w:r>
        <w:rPr>
          <w:rFonts w:ascii="Calibri" w:hAnsi="Calibri"/>
          <w:color w:val="525866"/>
          <w:sz w:val="22"/>
        </w:rPr>
        <w:t xml:space="preserve"> ALB received federal mining permits for Kings Mountain (NC) lithium project — a meaningful milestone for the long-term greenfield option. Implication: Reduces regulatory risk for a key future growth asset; management expressed increasing confidence in the asset's strategic value.</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Peer commentary from Q2 2026 reporting season is broadly constructive for ALB — Tesla's record Q2 energy storage deployment (+53% sequential) and Rivian's strong EV demand signal robust end-market demand for lithium; SQM's Q1 2026 call (reporting Q1 results in late May) flagged record Q2 volume expectations and higher Q2 pricing, directly corroborating ALB's Q2 setup.</w:t>
      </w:r>
    </w:p>
    <w:p>
      <w:r>
        <w:rPr>
          <w:rFonts w:ascii="Calibri" w:hAnsi="Calibri"/>
          <w:color w:val="525866"/>
          <w:sz w:val="22"/>
        </w:rPr>
        <w:t>Note: Only commentary from the current reporting period (Q2 2026) or post-Q1 earnings commentary about Q2 2026 conditions is included below. Prior-quarter results commentary has been excluded.</w:t>
      </w:r>
    </w:p>
    <w:p>
      <w:pPr>
        <w:pStyle w:val="Heading3"/>
      </w:pPr>
      <w:r>
        <w:rPr>
          <w:rFonts w:ascii="Calibri" w:hAnsi="Calibri"/>
          <w:b/>
          <w:color w:val="3B4259"/>
          <w:sz w:val="24"/>
        </w:rPr>
        <w:t>SQM — Q1 2026 Earnings Call (May 27, 2026) | Lithium Peer</w:t>
      </w:r>
    </w:p>
    <w:p>
      <w:r>
        <w:rPr>
          <w:rFonts w:ascii="Calibri" w:hAnsi="Calibri"/>
          <w:b/>
          <w:color w:val="525866"/>
          <w:sz w:val="22"/>
        </w:rPr>
        <w:t xml:space="preserve">Relevance: </w:t>
      </w:r>
      <w:r>
        <w:rPr>
          <w:rFonts w:ascii="Calibri" w:hAnsi="Calibri"/>
          <w:color w:val="525866"/>
          <w:sz w:val="22"/>
        </w:rPr>
        <w:t>SQM is ALB's closest lithium peer (both operate at Salar de Atacama). SQM's Q1 2026 call (reported May 26–27) provided direct forward commentary on Q2 2026 lithium pricing and volumes.</w:t>
      </w:r>
    </w:p>
    <w:p>
      <w:pPr>
        <w:pStyle w:val="ListBullet"/>
        <w:ind w:left="360" w:hanging="360"/>
      </w:pPr>
      <w:r>
        <w:rPr>
          <w:rFonts w:ascii="Calibri" w:hAnsi="Calibri"/>
          <w:b/>
          <w:color w:val="525866"/>
          <w:sz w:val="22"/>
        </w:rPr>
        <w:t>Q2 2026 Pricing Upside Confirmed:</w:t>
      </w:r>
      <w:r>
        <w:rPr>
          <w:rFonts w:ascii="Calibri" w:hAnsi="Calibri"/>
          <w:color w:val="525866"/>
          <w:sz w:val="22"/>
        </w:rPr>
        <w:t xml:space="preserve"> SQM stated: "We expect our sales prices in Q2 2026 to be higher than what we had in Q1 2026" (Q1 avg: ~$18/kg). This directly corroborates ALB's Q2 pricing setup — if SQM's Q2 realized prices are higher than $18/kg, ALB's consensus estimate of ~$20.88/kg looks achievable or beatable given ALB's contract lag structure.</w:t>
      </w:r>
    </w:p>
    <w:p>
      <w:pPr>
        <w:pStyle w:val="ListBullet"/>
        <w:ind w:left="360" w:hanging="360"/>
      </w:pPr>
      <w:r>
        <w:rPr>
          <w:rFonts w:ascii="Calibri" w:hAnsi="Calibri"/>
          <w:b/>
          <w:color w:val="525866"/>
          <w:sz w:val="22"/>
        </w:rPr>
        <w:t>Record Q2 Volume Guidance:</w:t>
      </w:r>
      <w:r>
        <w:rPr>
          <w:rFonts w:ascii="Calibri" w:hAnsi="Calibri"/>
          <w:color w:val="525866"/>
          <w:sz w:val="22"/>
        </w:rPr>
        <w:t xml:space="preserve"> SQM guided to surpass Q1 2025 sales volumes by more than 10% in Q2 2026, "hitting a record volume for any past calendar quarter." SQM raised its FY 2026 lithium sales volume guidance to +15% YoY (toward ~300 KT). Read-through: Strong market demand absorption supports ALB's Q2 volume guidance of ~59 KT LCE (up from 53 KT in Q1).</w:t>
      </w:r>
    </w:p>
    <w:p>
      <w:pPr>
        <w:pStyle w:val="ListBullet"/>
        <w:ind w:left="360" w:hanging="360"/>
      </w:pPr>
      <w:r>
        <w:rPr>
          <w:rFonts w:ascii="Calibri" w:hAnsi="Calibri"/>
          <w:b/>
          <w:color w:val="525866"/>
          <w:sz w:val="22"/>
        </w:rPr>
        <w:t>Tight Supply-Demand Balance:</w:t>
      </w:r>
      <w:r>
        <w:rPr>
          <w:rFonts w:ascii="Calibri" w:hAnsi="Calibri"/>
          <w:color w:val="525866"/>
          <w:sz w:val="22"/>
        </w:rPr>
        <w:t xml:space="preserve"> SQM projected global lithium demand could exceed 1.9 million metric tons LCE in 2026, with "market dynamics continuing to suggest a tight supply-demand balance." SQM is operating at full capacity. Read-through: Demand environment supports ALB's pricing and volume assumptions; no signs of demand destruction.</w:t>
      </w:r>
    </w:p>
    <w:p>
      <w:pPr>
        <w:pStyle w:val="ListBullet"/>
        <w:ind w:left="360" w:hanging="360"/>
      </w:pPr>
      <w:r>
        <w:rPr>
          <w:rFonts w:ascii="Calibri" w:hAnsi="Calibri"/>
          <w:b/>
          <w:color w:val="525866"/>
          <w:sz w:val="22"/>
        </w:rPr>
        <w:t>BESS Demand ~30% of Market:</w:t>
      </w:r>
      <w:r>
        <w:rPr>
          <w:rFonts w:ascii="Calibri" w:hAnsi="Calibri"/>
          <w:color w:val="525866"/>
          <w:sz w:val="22"/>
        </w:rPr>
        <w:t xml:space="preserve"> SQM estimated BESS applications account for ~30% of overall lithium demand — consistent with ALB's commentary that energy storage demand is up 117% YoY and is the primary growth driver. Read-through: Grid storage demand is real and broad-based, not just an ALB-specific narrative.</w:t>
      </w:r>
    </w:p>
    <w:p>
      <w:pPr>
        <w:pStyle w:val="ListBullet"/>
        <w:ind w:left="360" w:hanging="360"/>
      </w:pPr>
      <w:r>
        <w:rPr>
          <w:rFonts w:ascii="Calibri" w:hAnsi="Calibri"/>
          <w:b/>
          <w:color w:val="525866"/>
          <w:sz w:val="22"/>
        </w:rPr>
        <w:t>Volatile Pricing Environment:</w:t>
      </w:r>
      <w:r>
        <w:rPr>
          <w:rFonts w:ascii="Calibri" w:hAnsi="Calibri"/>
          <w:color w:val="525866"/>
          <w:sz w:val="22"/>
        </w:rPr>
        <w:t xml:space="preserve"> SQM cautioned: "We are still in a very high volatile price scenario, so it's difficult to predict prices beyond Q2." Read-through: Pricing visibility beyond Q2 remains limited; ALB's scenario-based guidance approach is appropriate, but the market may remain skeptical about H2 2026 pricing sustainability.</w:t>
      </w:r>
    </w:p>
    <w:p>
      <w:pPr>
        <w:pStyle w:val="ListBullet"/>
        <w:ind w:left="360" w:hanging="360"/>
      </w:pPr>
      <w:r>
        <w:rPr>
          <w:rFonts w:ascii="Calibri" w:hAnsi="Calibri"/>
          <w:b/>
          <w:color w:val="525866"/>
          <w:sz w:val="22"/>
        </w:rPr>
        <w:t>Mt Holland Expansion (July 21, 2026):</w:t>
      </w:r>
      <w:r>
        <w:rPr>
          <w:rFonts w:ascii="Calibri" w:hAnsi="Calibri"/>
          <w:color w:val="525866"/>
          <w:sz w:val="22"/>
        </w:rPr>
        <w:t xml:space="preserve"> SQM/Wesfarmers approved doubling Mt Holland spodumene capacity to 760 KT/yr (first production H1 2030). SQM CEO: "The long-term fundamentals for lithium demand remain very strong." Read-through: Bearish long-term supply signal, but the 2030 timeline means no near-term impact on ALB's Q2–Q4 2026 results.</w:t>
      </w:r>
    </w:p>
    <w:p>
      <w:pPr>
        <w:pStyle w:val="Heading3"/>
      </w:pPr>
      <w:r>
        <w:rPr>
          <w:rFonts w:ascii="Calibri" w:hAnsi="Calibri"/>
          <w:b/>
          <w:color w:val="3B4259"/>
          <w:sz w:val="24"/>
        </w:rPr>
        <w:t>Tesla (TSLA) — Q2 2026 Earnings Call (July 22, 2026) | EV &amp; Energy Storage Customer</w:t>
      </w:r>
    </w:p>
    <w:p>
      <w:r>
        <w:rPr>
          <w:rFonts w:ascii="Calibri" w:hAnsi="Calibri"/>
          <w:b/>
          <w:color w:val="525866"/>
          <w:sz w:val="22"/>
        </w:rPr>
        <w:t xml:space="preserve">Relevance: </w:t>
      </w:r>
      <w:r>
        <w:rPr>
          <w:rFonts w:ascii="Calibri" w:hAnsi="Calibri"/>
          <w:color w:val="525866"/>
          <w:sz w:val="22"/>
        </w:rPr>
        <w:t>Tesla is a major end-market customer for lithium (via battery cell production) and the world's largest deployer of grid-scale energy storage (Megapack). Tesla's Q2 2026 results provide direct read-through on ALB's two key demand drivers: EV battery demand and energy storage.</w:t>
      </w:r>
    </w:p>
    <w:p>
      <w:pPr>
        <w:pStyle w:val="ListBullet"/>
        <w:ind w:left="360" w:hanging="360"/>
      </w:pPr>
      <w:r>
        <w:rPr>
          <w:rFonts w:ascii="Calibri" w:hAnsi="Calibri"/>
          <w:b/>
          <w:color w:val="525866"/>
          <w:sz w:val="22"/>
        </w:rPr>
        <w:t>Energy Storage Deployment +53% Sequential:</w:t>
      </w:r>
      <w:r>
        <w:rPr>
          <w:rFonts w:ascii="Calibri" w:hAnsi="Calibri"/>
          <w:color w:val="525866"/>
          <w:sz w:val="22"/>
        </w:rPr>
        <w:t xml:space="preserve"> Tesla deployed 13.5 GWh of energy storage in Q2 2026, a 53% sequential increase and "the second largest quarter for energy business." Elon Musk: "We see demand for Megapack being very, very high in the future." Read-through: Exceptionally strong. This is the single most bullish data point for ALB's Energy Storage segment — grid-scale battery demand is accelerating, driven by AI data centers, grid reliability, and renewables. ALB's customer order books being "full through early 2027" is corroborated.</w:t>
      </w:r>
    </w:p>
    <w:p>
      <w:pPr>
        <w:pStyle w:val="ListBullet"/>
        <w:ind w:left="360" w:hanging="360"/>
      </w:pPr>
      <w:r>
        <w:rPr>
          <w:rFonts w:ascii="Calibri" w:hAnsi="Calibri"/>
          <w:b/>
          <w:color w:val="525866"/>
          <w:sz w:val="22"/>
        </w:rPr>
        <w:t>Record Q2 EV Deliveries:</w:t>
      </w:r>
      <w:r>
        <w:rPr>
          <w:rFonts w:ascii="Calibri" w:hAnsi="Calibri"/>
          <w:color w:val="525866"/>
          <w:sz w:val="22"/>
        </w:rPr>
        <w:t xml:space="preserve"> Tesla achieved record Q2 deliveries globally with sequential growth of 60% in the Americas, 27% in APAC, and 12% in EMEA. Tesla exited Q2 with its "largest order backlog since 2023." Read-through: Positive for lithium demand; EV demand resurgence after a weak Q1 supports ALB's volume guidance for H2 2026.</w:t>
      </w:r>
    </w:p>
    <w:p>
      <w:pPr>
        <w:pStyle w:val="ListBullet"/>
        <w:ind w:left="360" w:hanging="360"/>
      </w:pPr>
      <w:r>
        <w:rPr>
          <w:rFonts w:ascii="Calibri" w:hAnsi="Calibri"/>
          <w:b/>
          <w:color w:val="525866"/>
          <w:sz w:val="22"/>
        </w:rPr>
        <w:t>AI/Data Center Driving Grid Storage:</w:t>
      </w:r>
      <w:r>
        <w:rPr>
          <w:rFonts w:ascii="Calibri" w:hAnsi="Calibri"/>
          <w:color w:val="525866"/>
          <w:sz w:val="22"/>
        </w:rPr>
        <w:t xml:space="preserve"> Musk highlighted that AI compute demand is driving massive grid storage needs: "SpaceX has bought many Megapacks primarily for smoothing out the power for training runs." The energy business is "crucial for the scale up of AI data centers." Read-through: AI-driven grid storage demand is a structural, multi-year tailwind for lithium demand — directly supports ALB's ESS volume growth narrative.</w:t>
      </w:r>
    </w:p>
    <w:p>
      <w:pPr>
        <w:pStyle w:val="ListBullet"/>
        <w:ind w:left="360" w:hanging="360"/>
      </w:pPr>
      <w:r>
        <w:rPr>
          <w:rFonts w:ascii="Calibri" w:hAnsi="Calibri"/>
          <w:b/>
          <w:color w:val="525866"/>
          <w:sz w:val="22"/>
        </w:rPr>
        <w:t>Energy Gross Margin Declined to 20.4% (from 39.5%):</w:t>
      </w:r>
      <w:r>
        <w:rPr>
          <w:rFonts w:ascii="Calibri" w:hAnsi="Calibri"/>
          <w:color w:val="525866"/>
          <w:sz w:val="22"/>
        </w:rPr>
        <w:t xml:space="preserve"> The decline was driven by a $240M warranty true-up, non-repeating Q1 tariff benefits, and lower ASPs for industrial storage "amidst growing competition." Long-term energy margin expected to normalize at "mid to low 20% range." Read-through: Margin pressure at the battery/storage OEM level from competition and tariff normalization could eventually pressure lithium pricing if passed upstream, though near-term demand remains robust.</w:t>
      </w:r>
    </w:p>
    <w:p>
      <w:pPr>
        <w:pStyle w:val="ListBullet"/>
        <w:ind w:left="360" w:hanging="360"/>
      </w:pPr>
      <w:r>
        <w:rPr>
          <w:rFonts w:ascii="Calibri" w:hAnsi="Calibri"/>
          <w:b/>
          <w:color w:val="525866"/>
          <w:sz w:val="22"/>
        </w:rPr>
        <w:t>Supply Chain Constraints Limiting Production:</w:t>
      </w:r>
      <w:r>
        <w:rPr>
          <w:rFonts w:ascii="Calibri" w:hAnsi="Calibri"/>
          <w:color w:val="525866"/>
          <w:sz w:val="22"/>
        </w:rPr>
        <w:t xml:space="preserve"> Tesla noted "production growth will be limited by our supply chain, including not just batteries but also electronic components." Read-through: Supply chain tightness at Tesla level suggests battery demand is outpacing supply — a positive signal for lithium demand and pricing.</w:t>
      </w:r>
    </w:p>
    <w:p>
      <w:pPr>
        <w:pStyle w:val="ListBullet"/>
        <w:ind w:left="360" w:hanging="360"/>
      </w:pPr>
      <w:r>
        <w:rPr>
          <w:rFonts w:ascii="Calibri" w:hAnsi="Calibri"/>
          <w:b/>
          <w:color w:val="525866"/>
          <w:sz w:val="22"/>
        </w:rPr>
        <w:t>Commodity Cost Headwinds:</w:t>
      </w:r>
      <w:r>
        <w:rPr>
          <w:rFonts w:ascii="Calibri" w:hAnsi="Calibri"/>
          <w:color w:val="525866"/>
          <w:sz w:val="22"/>
        </w:rPr>
        <w:t xml:space="preserve"> Tesla acknowledged "commodity price increases and interest rate changes all continue to add to our costs." Read-through: Rising lithium prices are flowing through to Tesla's cost structure, confirming that ALB's higher realized prices are real and market-driven.</w:t>
      </w:r>
    </w:p>
    <w:p>
      <w:pPr>
        <w:pStyle w:val="Heading3"/>
      </w:pPr>
      <w:r>
        <w:rPr>
          <w:rFonts w:ascii="Calibri" w:hAnsi="Calibri"/>
          <w:b/>
          <w:color w:val="3B4259"/>
          <w:sz w:val="24"/>
        </w:rPr>
        <w:t>Rivian (RIVN) — Q2 2026 Earnings Call (July 30, 2026) | EV Customer</w:t>
      </w:r>
    </w:p>
    <w:p>
      <w:r>
        <w:rPr>
          <w:rFonts w:ascii="Calibri" w:hAnsi="Calibri"/>
          <w:b/>
          <w:color w:val="525866"/>
          <w:sz w:val="22"/>
        </w:rPr>
        <w:t xml:space="preserve">Relevance: </w:t>
      </w:r>
      <w:r>
        <w:rPr>
          <w:rFonts w:ascii="Calibri" w:hAnsi="Calibri"/>
          <w:color w:val="525866"/>
          <w:sz w:val="22"/>
        </w:rPr>
        <w:t>Rivian is a growing EV manufacturer ramping R2 production, representing incremental lithium demand from a new vehicle platform. Rivian's Q2 2026 results provide read-through on EV demand trends and battery supply chain dynamics.</w:t>
      </w:r>
    </w:p>
    <w:p>
      <w:pPr>
        <w:pStyle w:val="ListBullet"/>
        <w:ind w:left="360" w:hanging="360"/>
      </w:pPr>
      <w:r>
        <w:rPr>
          <w:rFonts w:ascii="Calibri" w:hAnsi="Calibri"/>
          <w:b/>
          <w:color w:val="525866"/>
          <w:sz w:val="22"/>
        </w:rPr>
        <w:t>Strong R2 Demand, First-Time EV Buyers:</w:t>
      </w:r>
      <w:r>
        <w:rPr>
          <w:rFonts w:ascii="Calibri" w:hAnsi="Calibri"/>
          <w:color w:val="525866"/>
          <w:sz w:val="22"/>
        </w:rPr>
        <w:t xml:space="preserve"> Rivian began external R2 deliveries in June 2026, with reservation-to-order conversion "meaningfully higher than expected." A "significant number of first-time EV owners" are purchasing R2s. Read-through: EV market is expanding to new buyers, supporting long-term lithium demand growth beyond the existing EV owner base.</w:t>
      </w:r>
    </w:p>
    <w:p>
      <w:pPr>
        <w:pStyle w:val="ListBullet"/>
        <w:ind w:left="360" w:hanging="360"/>
      </w:pPr>
      <w:r>
        <w:rPr>
          <w:rFonts w:ascii="Calibri" w:hAnsi="Calibri"/>
          <w:b/>
          <w:color w:val="525866"/>
          <w:sz w:val="22"/>
        </w:rPr>
        <w:t>Q2 Deliveries Beat Guidance:</w:t>
      </w:r>
      <w:r>
        <w:rPr>
          <w:rFonts w:ascii="Calibri" w:hAnsi="Calibri"/>
          <w:color w:val="525866"/>
          <w:sz w:val="22"/>
        </w:rPr>
        <w:t xml:space="preserve"> Rivian produced 12,613 vehicles and delivered 12,194 in Q2, exceeding its 9,000–11,000 guidance. FY 2026 delivery guidance raised by 3,000 units to 65,000–70,000. Read-through: EV demand is real and accelerating; incremental lithium demand from Rivian's ramp is a positive for ALB's volume outlook.</w:t>
      </w:r>
    </w:p>
    <w:p>
      <w:pPr>
        <w:pStyle w:val="ListBullet"/>
        <w:ind w:left="360" w:hanging="360"/>
      </w:pPr>
      <w:r>
        <w:rPr>
          <w:rFonts w:ascii="Calibri" w:hAnsi="Calibri"/>
          <w:b/>
          <w:color w:val="525866"/>
          <w:sz w:val="22"/>
        </w:rPr>
        <w:t>Commodity and Memory Cost Headwinds:</w:t>
      </w:r>
      <w:r>
        <w:rPr>
          <w:rFonts w:ascii="Calibri" w:hAnsi="Calibri"/>
          <w:color w:val="525866"/>
          <w:sz w:val="22"/>
        </w:rPr>
        <w:t xml:space="preserve"> Rivian cited "increasing commodity and memory costs" as headwinds, partially offsetting EBITDA improvements. Read-through: Rising raw material costs (including lithium) are flowing through to EV manufacturers' cost structures, confirming ALB's pricing power in the current environment.</w:t>
      </w:r>
    </w:p>
    <w:p>
      <w:pPr>
        <w:pStyle w:val="ListBullet"/>
        <w:ind w:left="360" w:hanging="360"/>
      </w:pPr>
      <w:r>
        <w:rPr>
          <w:rFonts w:ascii="Calibri" w:hAnsi="Calibri"/>
          <w:b/>
          <w:color w:val="525866"/>
          <w:sz w:val="22"/>
        </w:rPr>
        <w:t>Supply Chain Complexity:</w:t>
      </w:r>
      <w:r>
        <w:rPr>
          <w:rFonts w:ascii="Calibri" w:hAnsi="Calibri"/>
          <w:color w:val="525866"/>
          <w:sz w:val="22"/>
        </w:rPr>
        <w:t xml:space="preserve"> Rivian noted "current macro and geopolitical factors are creating added complexity, cost and uncertainty" in supply chains, with production "throttled by the slowest moving supplier." Read-through: Supply chain disruptions are a sector-wide issue, consistent with ALB's Middle East supply chain headwind narrative; not ALB-specific.</w:t>
      </w:r>
    </w:p>
    <w:p>
      <w:pPr>
        <w:pStyle w:val="ListBullet"/>
        <w:ind w:left="360" w:hanging="360"/>
      </w:pPr>
      <w:r>
        <w:rPr>
          <w:rFonts w:ascii="Calibri" w:hAnsi="Calibri"/>
          <w:b/>
          <w:color w:val="525866"/>
          <w:sz w:val="22"/>
        </w:rPr>
        <w:t>Larger Battery Pack Variants for Amazon EDVs:</w:t>
      </w:r>
      <w:r>
        <w:rPr>
          <w:rFonts w:ascii="Calibri" w:hAnsi="Calibri"/>
          <w:color w:val="525866"/>
          <w:sz w:val="22"/>
        </w:rPr>
        <w:t xml:space="preserve"> Rivian is developing new commercial van variants with "a larger battery pack and all-wheel drive" for Amazon. Read-through: Commercial EV fleet electrification is adding incremental battery demand beyond passenger vehicles — a positive for lithium demand diversification.</w:t>
      </w:r>
    </w:p>
    <w:p>
      <w:pPr>
        <w:pStyle w:val="Heading3"/>
      </w:pPr>
      <w:r>
        <w:rPr>
          <w:rFonts w:ascii="Calibri" w:hAnsi="Calibri"/>
          <w:b/>
          <w:color w:val="3B4259"/>
          <w:sz w:val="24"/>
        </w:rPr>
        <w:t>General Motors (GM) — Q2 2026 Earnings Release (July 21, 2026) | EV OEM</w:t>
      </w:r>
    </w:p>
    <w:p>
      <w:r>
        <w:rPr>
          <w:rFonts w:ascii="Calibri" w:hAnsi="Calibri"/>
          <w:b/>
          <w:color w:val="525866"/>
          <w:sz w:val="22"/>
        </w:rPr>
        <w:t xml:space="preserve">Relevance: </w:t>
      </w:r>
      <w:r>
        <w:rPr>
          <w:rFonts w:ascii="Calibri" w:hAnsi="Calibri"/>
          <w:color w:val="525866"/>
          <w:sz w:val="22"/>
        </w:rPr>
        <w:t>GM is a major EV OEM with the Ultium battery platform (JV with LG Energy Solution). GM's Q2 2026 results provide read-through on EV production volumes and battery demand.</w:t>
      </w:r>
    </w:p>
    <w:p>
      <w:pPr>
        <w:pStyle w:val="ListBullet"/>
        <w:ind w:left="360" w:hanging="360"/>
      </w:pPr>
      <w:r>
        <w:rPr>
          <w:rFonts w:ascii="Calibri" w:hAnsi="Calibri"/>
          <w:b/>
          <w:color w:val="525866"/>
          <w:sz w:val="22"/>
        </w:rPr>
        <w:t>GM Raised FY 2026 Guidance for Second Time:</w:t>
      </w:r>
      <w:r>
        <w:rPr>
          <w:rFonts w:ascii="Calibri" w:hAnsi="Calibri"/>
          <w:color w:val="525866"/>
          <w:sz w:val="22"/>
        </w:rPr>
        <w:t xml:space="preserve"> GM raised FY 2026 EBIT-adjusted guidance to $14.0–16.0B (from $13.5–15.5B) and EPS-diluted-adjusted to $12.00–14.00. Q2 revenue was $48.0B. Read-through: Strong GM performance signals healthy auto industry demand, which supports lithium demand from EV battery production.</w:t>
      </w:r>
    </w:p>
    <w:p>
      <w:pPr>
        <w:pStyle w:val="ListBullet"/>
        <w:ind w:left="360" w:hanging="360"/>
      </w:pPr>
      <w:r>
        <w:rPr>
          <w:rFonts w:ascii="Calibri" w:hAnsi="Calibri"/>
          <w:b/>
          <w:color w:val="525866"/>
          <w:sz w:val="22"/>
        </w:rPr>
        <w:t>EV Strategic Realignment Costs:</w:t>
      </w:r>
      <w:r>
        <w:rPr>
          <w:rFonts w:ascii="Calibri" w:hAnsi="Calibri"/>
          <w:color w:val="525866"/>
          <w:sz w:val="22"/>
        </w:rPr>
        <w:t xml:space="preserve"> GM recorded $1.87B in EV strategic realignment adjustments in Q2 2026 related to EV capacity and manufacturing footprint changes (including Ultium). Read-through: GM is actively restructuring its EV manufacturing footprint, which could affect near-term battery cell demand from the Ultium JV; however, the broader EV commitment remains intact.</w:t>
      </w:r>
    </w:p>
    <w:p>
      <w:pPr>
        <w:pStyle w:val="ListBullet"/>
        <w:ind w:left="360" w:hanging="360"/>
      </w:pPr>
      <w:r>
        <w:rPr>
          <w:rFonts w:ascii="Calibri" w:hAnsi="Calibri"/>
          <w:b/>
          <w:color w:val="525866"/>
          <w:sz w:val="22"/>
        </w:rPr>
        <w:t>Ultium JV Equity Income Insignificant:</w:t>
      </w:r>
      <w:r>
        <w:rPr>
          <w:rFonts w:ascii="Calibri" w:hAnsi="Calibri"/>
          <w:color w:val="525866"/>
          <w:sz w:val="22"/>
        </w:rPr>
        <w:t xml:space="preserve"> Equity income from Ultium Cells Holdings LLC (GM/LG Energy Solution JV) was "insignificant" in Q2 2026 vs. $252M in H1 2025. Read-through: The Ultium JV is in a transition period; battery cell production economics are under pressure, which could affect near-term lithium offtake volumes from that channel.</w:t>
      </w:r>
    </w:p>
    <w:p>
      <w:r>
        <w:rPr>
          <w:rFonts w:ascii="Calibri" w:hAnsi="Calibri"/>
          <w:b/>
          <w:color w:val="525866"/>
          <w:sz w:val="22"/>
        </w:rPr>
        <w:t xml:space="preserve">Overall Peer Read-Through Summary: </w:t>
      </w:r>
      <w:r>
        <w:rPr>
          <w:rFonts w:ascii="Calibri" w:hAnsi="Calibri"/>
          <w:color w:val="525866"/>
          <w:sz w:val="22"/>
        </w:rPr>
        <w:t>The Q2 2026 peer commentary is net positive for ALB. Tesla's 53% sequential surge in energy storage deployment is the most direct and bullish read-through — it validates ALB's ESS demand narrative and supports the view that customer order books are full. SQM's explicit Q2 pricing and volume guidance (higher prices, record volumes) directly corroborates ALB's Q2 setup. Rivian's demand beat and commodity cost commentary confirm that lithium pricing is flowing through to OEM cost structures. GM's EV realignment is a modest near-term caution but does not change the structural demand picture.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 since Q1 earnings was a discretionary open-market sale by CEO Kent Masters on May 15, 2026 — 10 days after the Q1 blowout beat — which is notable in size (~$3.1M) but not alarming given the stock was near its 2026 peak; no insider buying has been disclosed, which is a mild negative signal given the subsequent ~38% stock decline.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Masters J Kent</w:t>
            </w:r>
          </w:p>
        </w:tc>
        <w:tc>
          <w:tcPr>
            <w:tcW w:type="dxa" w:w="1080"/>
          </w:tcPr>
          <w:p>
            <w:r>
              <w:rPr>
                <w:rFonts w:ascii="Calibri" w:hAnsi="Calibri"/>
                <w:sz w:val="22"/>
              </w:rPr>
              <w:t>Chairman &amp; CEO, Director</w:t>
            </w:r>
          </w:p>
        </w:tc>
        <w:tc>
          <w:tcPr>
            <w:tcW w:type="dxa" w:w="1080"/>
          </w:tcPr>
          <w:p>
            <w:r>
              <w:rPr>
                <w:rFonts w:ascii="Calibri" w:hAnsi="Calibri"/>
                <w:sz w:val="22"/>
              </w:rPr>
              <w:t>Open Market Sale</w:t>
            </w:r>
          </w:p>
        </w:tc>
        <w:tc>
          <w:tcPr>
            <w:tcW w:type="dxa" w:w="1080"/>
          </w:tcPr>
          <w:p>
            <w:r>
              <w:rPr>
                <w:rFonts w:ascii="Calibri" w:hAnsi="Calibri"/>
                <w:sz w:val="22"/>
              </w:rPr>
              <w:t>16,393 shares</w:t>
            </w:r>
          </w:p>
        </w:tc>
        <w:tc>
          <w:tcPr>
            <w:tcW w:type="dxa" w:w="1080"/>
          </w:tcPr>
          <w:p>
            <w:r>
              <w:rPr>
                <w:rFonts w:ascii="Calibri" w:hAnsi="Calibri"/>
                <w:sz w:val="22"/>
              </w:rPr>
              <w:t>~$3.1M (est. at ~$190/share)</w:t>
            </w:r>
          </w:p>
        </w:tc>
        <w:tc>
          <w:tcPr>
            <w:tcW w:type="dxa" w:w="1080"/>
          </w:tcPr>
          <w:p>
            <w:r>
              <w:rPr>
                <w:rFonts w:ascii="Calibri" w:hAnsi="Calibri"/>
                <w:sz w:val="22"/>
              </w:rPr>
              <w:t>May 15, 2026</w:t>
            </w:r>
          </w:p>
        </w:tc>
        <w:tc>
          <w:tcPr>
            <w:tcW w:type="dxa" w:w="1080"/>
          </w:tcPr>
          <w:p>
            <w:r>
              <w:rPr>
                <w:rFonts w:ascii="Calibri" w:hAnsi="Calibri"/>
                <w:sz w:val="22"/>
              </w:rPr>
              <w:t>May 19, 2026</w:t>
            </w:r>
          </w:p>
        </w:tc>
        <w:tc>
          <w:tcPr>
            <w:tcW w:type="dxa" w:w="1080"/>
          </w:tcPr>
          <w:p>
            <w:r>
              <w:rPr>
                <w:rFonts w:ascii="Calibri" w:hAnsi="Calibri"/>
                <w:sz w:val="22"/>
              </w:rPr>
              <w:t>Discretionary sale (not flagged as 10b5-1 plan); sold 10 days post-Q1 beat near 2026 peak; 87,519 shares retained after sale</w:t>
            </w:r>
          </w:p>
        </w:tc>
      </w:tr>
    </w:tbl>
    <w:p>
      <w:r>
        <w:rPr>
          <w:rFonts w:ascii="Calibri" w:hAnsi="Calibri"/>
          <w:color w:val="525866"/>
          <w:sz w:val="22"/>
        </w:rPr>
        <w:t>Source: SEC Form 4 Filings Database (Insider Transaction Data). Window: May 6, 2026 – August 4, 2026 (since Q1 2026 earnings).</w:t>
      </w:r>
    </w:p>
    <w:p>
      <w:r>
        <w:rPr>
          <w:rFonts w:ascii="Calibri" w:hAnsi="Calibri"/>
          <w:color w:val="525866"/>
          <w:sz w:val="22"/>
        </w:rPr>
        <w:t>The CEO's discretionary sale of ~16,400 shares (~$3.1M) on May 15 — 10 days after the Q1 blowout and near the stock's 2026 peak of ~$210 — is the only insider transaction in the post-Q1 window. The sale was not executed under a 10b5-1 plan, making it a discretionary decision. While the CEO retained 87,519 shares (a substantial position), the absence of any insider buying during the subsequent ~38% stock decline from May to August is a mild negative signal — insiders have not stepped in to buy the dip despite the stock trading at a significant discount to analyst price targets. No other officers or directors have filed Form 4 transactions in this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