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Albemarle Corporation (ALB)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Albemarle Corporation</w:t>
            </w:r>
          </w:p>
        </w:tc>
      </w:tr>
      <w:tr>
        <w:tc>
          <w:tcPr>
            <w:tcW w:type="dxa" w:w="4320"/>
          </w:tcPr>
          <w:p>
            <w:r>
              <w:rPr>
                <w:rFonts w:ascii="Calibri" w:hAnsi="Calibri"/>
                <w:b/>
                <w:sz w:val="22"/>
              </w:rPr>
              <w:t>Ticker</w:t>
            </w:r>
          </w:p>
        </w:tc>
        <w:tc>
          <w:tcPr>
            <w:tcW w:type="dxa" w:w="4320"/>
          </w:tcPr>
          <w:p>
            <w:r>
              <w:rPr>
                <w:rFonts w:ascii="Calibri" w:hAnsi="Calibri"/>
                <w:sz w:val="22"/>
              </w:rPr>
              <w:t>ALB (NYSE)</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Release Date</w:t>
            </w:r>
          </w:p>
        </w:tc>
        <w:tc>
          <w:tcPr>
            <w:tcW w:type="dxa" w:w="4320"/>
          </w:tcPr>
          <w:p>
            <w:r>
              <w:rPr>
                <w:rFonts w:ascii="Calibri" w:hAnsi="Calibri"/>
                <w:sz w:val="22"/>
              </w:rPr>
              <w:t>August 5, 2026 (after market close)</w:t>
            </w:r>
          </w:p>
        </w:tc>
      </w:tr>
      <w:tr>
        <w:tc>
          <w:tcPr>
            <w:tcW w:type="dxa" w:w="4320"/>
          </w:tcPr>
          <w:p>
            <w:r>
              <w:rPr>
                <w:rFonts w:ascii="Calibri" w:hAnsi="Calibri"/>
                <w:b/>
                <w:sz w:val="22"/>
              </w:rPr>
              <w:t>Earnings Call Date</w:t>
            </w:r>
          </w:p>
        </w:tc>
        <w:tc>
          <w:tcPr>
            <w:tcW w:type="dxa" w:w="4320"/>
          </w:tcPr>
          <w:p>
            <w:r>
              <w:rPr>
                <w:rFonts w:ascii="Calibri" w:hAnsi="Calibri"/>
                <w:sz w:val="22"/>
              </w:rPr>
              <w:t>August 6, 2026, 8:00 AM ET</w:t>
            </w:r>
          </w:p>
        </w:tc>
      </w:tr>
      <w:tr>
        <w:tc>
          <w:tcPr>
            <w:tcW w:type="dxa" w:w="4320"/>
          </w:tcPr>
          <w:p>
            <w:r>
              <w:rPr>
                <w:rFonts w:ascii="Calibri" w:hAnsi="Calibri"/>
                <w:b/>
                <w:sz w:val="22"/>
              </w:rPr>
              <w:t>Prepared Date</w:t>
            </w:r>
          </w:p>
        </w:tc>
        <w:tc>
          <w:tcPr>
            <w:tcW w:type="dxa" w:w="4320"/>
          </w:tcPr>
          <w:p>
            <w:r>
              <w:rPr>
                <w:rFonts w:ascii="Calibri" w:hAnsi="Calibri"/>
                <w:sz w:val="22"/>
              </w:rPr>
              <w:t>August 4,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into Q2 2026 is constructive — consensus is a manageable bar given the strong Q1 beat, and the single biggest swing factor is whether the </w:t>
      </w:r>
      <w:r>
        <w:rPr>
          <w:rFonts w:ascii="Calibri" w:hAnsi="Calibri"/>
          <w:b/>
          <w:color w:val="525866"/>
          <w:sz w:val="22"/>
        </w:rPr>
        <w:t>~$20/kg average realized lithium price</w:t>
      </w:r>
      <w:r>
        <w:rPr>
          <w:rFonts w:ascii="Calibri" w:hAnsi="Calibri"/>
          <w:color w:val="525866"/>
          <w:sz w:val="22"/>
        </w:rPr>
        <w:t xml:space="preserve"> seen in Q1 held or improved through June, which would drive meaningful upside to the $790M Adj. EBITDA consensus estimate.</w:t>
      </w:r>
    </w:p>
    <w:p>
      <w:r>
        <w:rPr>
          <w:rFonts w:ascii="Calibri" w:hAnsi="Calibri"/>
          <w:color w:val="525866"/>
          <w:sz w:val="22"/>
        </w:rPr>
        <w:t>Albemarle heads into Q2 2026 earnings with momentum from an exceptional Q1 beat (Adj. EBITDA of $664M vs. $449M consensus, EPS of $2.95 vs. $1.49 consensus), and management's decision to hold total-company scenario guidance steady despite ~$70–90M of Middle East supply-chain headwinds signals confidence in the underlying business. Consensus has revised sharply higher since the Q1 print — Q2 Adj. EBITDA estimates rose from $710M to $791M and EPS from $2.99 to $3.51 — yet the bar still looks achievable given that: (1) Chinese spot lithium prices were tracking near $27/kg through much of Q2, above the $20/kg scenario underpinning guidance; (2) Energy Storage volumes are expected to step up sequentially as Greenbushes CGP3 ramps and Wodgina optimizes; and (3) the Specialties segment is running ahead of plan on bromine pricing. The stock has given back roughly 40% from its post-Q1 peak (~$210) to ~$117 today, compressing the EV/EBITDA multiple from ~10x to ~5x, suggesting the market has already priced in meaningful downside risk and leaving the risk/reward skewed to the upside on a clean print. The key wildcard is the trajectory of lithium prices in the back half of Q2 — Benchmark Minerals noted a "continued rally before reversal" in Q2 2026, meaning any sequential pricing softness in June could compress realized prices below the $20/kg scenario and disappoint on Energy Storage EBITDA margins, which management already flagged would decline sequentially due to spodumene inventory timing and Middle East cost headwinds.</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moderate bar — the Q2 Adj. EBITDA estimate of ~$791M implies a meaningful step-up from Q2 2025 ($337M) but is well below Q1 2026 actuals ($664M), leaving room for upside if lithium pricing held near $20/kg. </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 (FY 2026 Scenario)</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Total Revenue ($M)</w:t>
            </w:r>
          </w:p>
        </w:tc>
        <w:tc>
          <w:tcPr>
            <w:tcW w:type="dxa" w:w="1234"/>
          </w:tcPr>
          <w:p>
            <w:r>
              <w:rPr>
                <w:rFonts w:ascii="Calibri" w:hAnsi="Calibri"/>
                <w:sz w:val="22"/>
              </w:rPr>
              <w:t>$1,429M</w:t>
            </w:r>
          </w:p>
        </w:tc>
        <w:tc>
          <w:tcPr>
            <w:tcW w:type="dxa" w:w="1234"/>
          </w:tcPr>
          <w:p>
            <w:r>
              <w:rPr>
                <w:rFonts w:ascii="Calibri" w:hAnsi="Calibri"/>
                <w:sz w:val="22"/>
              </w:rPr>
              <w:t>$1,330M</w:t>
            </w:r>
          </w:p>
        </w:tc>
        <w:tc>
          <w:tcPr>
            <w:tcW w:type="dxa" w:w="1234"/>
          </w:tcPr>
          <w:p>
            <w:r>
              <w:rPr>
                <w:rFonts w:ascii="Calibri" w:hAnsi="Calibri"/>
                <w:sz w:val="22"/>
              </w:rPr>
              <w:t>$1,645M</w:t>
            </w:r>
          </w:p>
        </w:tc>
        <w:tc>
          <w:tcPr>
            <w:tcW w:type="dxa" w:w="1234"/>
          </w:tcPr>
          <w:p>
            <w:r>
              <w:rPr>
                <w:rFonts w:ascii="Calibri" w:hAnsi="Calibri"/>
                <w:sz w:val="22"/>
              </w:rPr>
              <w:t>+23.7%</w:t>
            </w:r>
          </w:p>
        </w:tc>
        <w:tc>
          <w:tcPr>
            <w:tcW w:type="dxa" w:w="1234"/>
          </w:tcPr>
          <w:p>
            <w:r>
              <w:rPr>
                <w:rFonts w:ascii="Calibri" w:hAnsi="Calibri"/>
                <w:sz w:val="22"/>
              </w:rPr>
              <w:t>$5.7–6.0B FY (at $20/kg scenario)</w:t>
            </w:r>
          </w:p>
        </w:tc>
        <w:tc>
          <w:tcPr>
            <w:tcW w:type="dxa" w:w="1234"/>
          </w:tcPr>
          <w:p>
            <w:r>
              <w:rPr>
                <w:rFonts w:ascii="Calibri" w:hAnsi="Calibri"/>
                <w:sz w:val="22"/>
              </w:rPr>
              <w:t>Q2 cons. implies ~$6.5B annualized; above $20/kg scenario midpoint</w:t>
            </w:r>
          </w:p>
        </w:tc>
      </w:tr>
      <w:tr>
        <w:tc>
          <w:tcPr>
            <w:tcW w:type="dxa" w:w="1234"/>
          </w:tcPr>
          <w:p>
            <w:r>
              <w:rPr>
                <w:rFonts w:ascii="Calibri" w:hAnsi="Calibri"/>
                <w:sz w:val="22"/>
              </w:rPr>
              <w:t>Energy Storage Revenue ($M)</w:t>
            </w:r>
          </w:p>
        </w:tc>
        <w:tc>
          <w:tcPr>
            <w:tcW w:type="dxa" w:w="1234"/>
          </w:tcPr>
          <w:p>
            <w:r>
              <w:rPr>
                <w:rFonts w:ascii="Calibri" w:hAnsi="Calibri"/>
                <w:sz w:val="22"/>
              </w:rPr>
              <w:t>$891M</w:t>
            </w:r>
          </w:p>
        </w:tc>
        <w:tc>
          <w:tcPr>
            <w:tcW w:type="dxa" w:w="1234"/>
          </w:tcPr>
          <w:p>
            <w:r>
              <w:rPr>
                <w:rFonts w:ascii="Calibri" w:hAnsi="Calibri"/>
                <w:sz w:val="22"/>
              </w:rPr>
              <w:t>$718M</w:t>
            </w:r>
          </w:p>
        </w:tc>
        <w:tc>
          <w:tcPr>
            <w:tcW w:type="dxa" w:w="1234"/>
          </w:tcPr>
          <w:p>
            <w:r>
              <w:rPr>
                <w:rFonts w:ascii="Calibri" w:hAnsi="Calibri"/>
                <w:sz w:val="22"/>
              </w:rPr>
              <w:t>$1,237M</w:t>
            </w:r>
          </w:p>
        </w:tc>
        <w:tc>
          <w:tcPr>
            <w:tcW w:type="dxa" w:w="1234"/>
          </w:tcPr>
          <w:p>
            <w:r>
              <w:rPr>
                <w:rFonts w:ascii="Calibri" w:hAnsi="Calibri"/>
                <w:sz w:val="22"/>
              </w:rPr>
              <w:t>+72.3%</w:t>
            </w:r>
          </w:p>
        </w:tc>
        <w:tc>
          <w:tcPr>
            <w:tcW w:type="dxa" w:w="1234"/>
          </w:tcPr>
          <w:p>
            <w:r>
              <w:rPr>
                <w:rFonts w:ascii="Calibri" w:hAnsi="Calibri"/>
                <w:sz w:val="22"/>
              </w:rPr>
              <w:t>$4.0–4.2B FY (at $20/kg scenario)</w:t>
            </w:r>
          </w:p>
        </w:tc>
        <w:tc>
          <w:tcPr>
            <w:tcW w:type="dxa" w:w="1234"/>
          </w:tcPr>
          <w:p>
            <w:r>
              <w:rPr>
                <w:rFonts w:ascii="Calibri" w:hAnsi="Calibri"/>
                <w:sz w:val="22"/>
              </w:rPr>
              <w:t>Q2 cons. implies ~$4.9B annualized; above midpoint</w:t>
            </w:r>
          </w:p>
        </w:tc>
      </w:tr>
      <w:tr>
        <w:tc>
          <w:tcPr>
            <w:tcW w:type="dxa" w:w="1234"/>
          </w:tcPr>
          <w:p>
            <w:r>
              <w:rPr>
                <w:rFonts w:ascii="Calibri" w:hAnsi="Calibri"/>
                <w:sz w:val="22"/>
              </w:rPr>
              <w:t>Adj. EBITDA ($M)</w:t>
            </w:r>
          </w:p>
        </w:tc>
        <w:tc>
          <w:tcPr>
            <w:tcW w:type="dxa" w:w="1234"/>
          </w:tcPr>
          <w:p>
            <w:r>
              <w:rPr>
                <w:rFonts w:ascii="Calibri" w:hAnsi="Calibri"/>
                <w:sz w:val="22"/>
              </w:rPr>
              <w:t>$664M</w:t>
            </w:r>
          </w:p>
        </w:tc>
        <w:tc>
          <w:tcPr>
            <w:tcW w:type="dxa" w:w="1234"/>
          </w:tcPr>
          <w:p>
            <w:r>
              <w:rPr>
                <w:rFonts w:ascii="Calibri" w:hAnsi="Calibri"/>
                <w:sz w:val="22"/>
              </w:rPr>
              <w:t>$337M</w:t>
            </w:r>
          </w:p>
        </w:tc>
        <w:tc>
          <w:tcPr>
            <w:tcW w:type="dxa" w:w="1234"/>
          </w:tcPr>
          <w:p>
            <w:r>
              <w:rPr>
                <w:rFonts w:ascii="Calibri" w:hAnsi="Calibri"/>
                <w:sz w:val="22"/>
              </w:rPr>
              <w:t>$791M</w:t>
            </w:r>
          </w:p>
        </w:tc>
        <w:tc>
          <w:tcPr>
            <w:tcW w:type="dxa" w:w="1234"/>
          </w:tcPr>
          <w:p>
            <w:r>
              <w:rPr>
                <w:rFonts w:ascii="Calibri" w:hAnsi="Calibri"/>
                <w:sz w:val="22"/>
              </w:rPr>
              <w:t>+134.7%</w:t>
            </w:r>
          </w:p>
        </w:tc>
        <w:tc>
          <w:tcPr>
            <w:tcW w:type="dxa" w:w="1234"/>
          </w:tcPr>
          <w:p>
            <w:r>
              <w:rPr>
                <w:rFonts w:ascii="Calibri" w:hAnsi="Calibri"/>
                <w:sz w:val="22"/>
              </w:rPr>
              <w:t>$2.4–2.6B FY (at $20/kg scenario)</w:t>
            </w:r>
          </w:p>
        </w:tc>
        <w:tc>
          <w:tcPr>
            <w:tcW w:type="dxa" w:w="1234"/>
          </w:tcPr>
          <w:p>
            <w:r>
              <w:rPr>
                <w:rFonts w:ascii="Calibri" w:hAnsi="Calibri"/>
                <w:sz w:val="22"/>
              </w:rPr>
              <w:t>Q2 cons. implies ~$3.2B annualized; above midpoint</w:t>
            </w:r>
          </w:p>
        </w:tc>
      </w:tr>
      <w:tr>
        <w:tc>
          <w:tcPr>
            <w:tcW w:type="dxa" w:w="1234"/>
          </w:tcPr>
          <w:p>
            <w:r>
              <w:rPr>
                <w:rFonts w:ascii="Calibri" w:hAnsi="Calibri"/>
                <w:sz w:val="22"/>
              </w:rPr>
              <w:t>Adj. EPS — Diluted ($)</w:t>
            </w:r>
          </w:p>
        </w:tc>
        <w:tc>
          <w:tcPr>
            <w:tcW w:type="dxa" w:w="1234"/>
          </w:tcPr>
          <w:p>
            <w:r>
              <w:rPr>
                <w:rFonts w:ascii="Calibri" w:hAnsi="Calibri"/>
                <w:sz w:val="22"/>
              </w:rPr>
              <w:t>$2.95</w:t>
            </w:r>
          </w:p>
        </w:tc>
        <w:tc>
          <w:tcPr>
            <w:tcW w:type="dxa" w:w="1234"/>
          </w:tcPr>
          <w:p>
            <w:r>
              <w:rPr>
                <w:rFonts w:ascii="Calibri" w:hAnsi="Calibri"/>
                <w:sz w:val="22"/>
              </w:rPr>
              <w:t>$0.47</w:t>
            </w:r>
          </w:p>
        </w:tc>
        <w:tc>
          <w:tcPr>
            <w:tcW w:type="dxa" w:w="1234"/>
          </w:tcPr>
          <w:p>
            <w:r>
              <w:rPr>
                <w:rFonts w:ascii="Calibri" w:hAnsi="Calibri"/>
                <w:sz w:val="22"/>
              </w:rPr>
              <w:t>$3.51</w:t>
            </w:r>
          </w:p>
        </w:tc>
        <w:tc>
          <w:tcPr>
            <w:tcW w:type="dxa" w:w="1234"/>
          </w:tcPr>
          <w:p>
            <w:r>
              <w:rPr>
                <w:rFonts w:ascii="Calibri" w:hAnsi="Calibri"/>
                <w:sz w:val="22"/>
              </w:rPr>
              <w:t>+646%</w:t>
            </w:r>
          </w:p>
        </w:tc>
        <w:tc>
          <w:tcPr>
            <w:tcW w:type="dxa" w:w="1234"/>
          </w:tcPr>
          <w:p>
            <w:r>
              <w:rPr>
                <w:rFonts w:ascii="Calibri" w:hAnsi="Calibri"/>
                <w:sz w:val="22"/>
              </w:rPr>
              <w:t>No specific quarterly EPS guidance provided</w:t>
            </w:r>
          </w:p>
        </w:tc>
        <w:tc>
          <w:tcPr>
            <w:tcW w:type="dxa" w:w="1234"/>
          </w:tcPr>
          <w:p>
            <w:r>
              <w:rPr>
                <w:rFonts w:ascii="Calibri" w:hAnsi="Calibri"/>
                <w:sz w:val="22"/>
              </w:rPr>
              <w:t>N/A</w:t>
            </w:r>
          </w:p>
        </w:tc>
      </w:tr>
      <w:tr>
        <w:tc>
          <w:tcPr>
            <w:tcW w:type="dxa" w:w="1234"/>
          </w:tcPr>
          <w:p>
            <w:r>
              <w:rPr>
                <w:rFonts w:ascii="Calibri" w:hAnsi="Calibri"/>
                <w:sz w:val="22"/>
              </w:rPr>
              <w:t>Total LCE Sold (KTons)</w:t>
            </w:r>
          </w:p>
        </w:tc>
        <w:tc>
          <w:tcPr>
            <w:tcW w:type="dxa" w:w="1234"/>
          </w:tcPr>
          <w:p>
            <w:r>
              <w:rPr>
                <w:rFonts w:ascii="Calibri" w:hAnsi="Calibri"/>
                <w:sz w:val="22"/>
              </w:rPr>
              <w:t>53.0 KT</w:t>
            </w:r>
          </w:p>
        </w:tc>
        <w:tc>
          <w:tcPr>
            <w:tcW w:type="dxa" w:w="1234"/>
          </w:tcPr>
          <w:p>
            <w:r>
              <w:rPr>
                <w:rFonts w:ascii="Calibri" w:hAnsi="Calibri"/>
                <w:sz w:val="22"/>
              </w:rPr>
              <w:t>59.0 KT</w:t>
            </w:r>
          </w:p>
        </w:tc>
        <w:tc>
          <w:tcPr>
            <w:tcW w:type="dxa" w:w="1234"/>
          </w:tcPr>
          <w:p>
            <w:r>
              <w:rPr>
                <w:rFonts w:ascii="Calibri" w:hAnsi="Calibri"/>
                <w:sz w:val="22"/>
              </w:rPr>
              <w:t>59.2 KT</w:t>
            </w:r>
          </w:p>
        </w:tc>
        <w:tc>
          <w:tcPr>
            <w:tcW w:type="dxa" w:w="1234"/>
          </w:tcPr>
          <w:p>
            <w:r>
              <w:rPr>
                <w:rFonts w:ascii="Calibri" w:hAnsi="Calibri"/>
                <w:sz w:val="22"/>
              </w:rPr>
              <w:t>+0.3%</w:t>
            </w:r>
          </w:p>
        </w:tc>
        <w:tc>
          <w:tcPr>
            <w:tcW w:type="dxa" w:w="1234"/>
          </w:tcPr>
          <w:p>
            <w:r>
              <w:rPr>
                <w:rFonts w:ascii="Calibri" w:hAnsi="Calibri"/>
                <w:sz w:val="22"/>
              </w:rPr>
              <w:t>Flat YoY volumes guided for FY 2026</w:t>
            </w:r>
          </w:p>
        </w:tc>
        <w:tc>
          <w:tcPr>
            <w:tcW w:type="dxa" w:w="1234"/>
          </w:tcPr>
          <w:p>
            <w:r>
              <w:rPr>
                <w:rFonts w:ascii="Calibri" w:hAnsi="Calibri"/>
                <w:sz w:val="22"/>
              </w:rPr>
              <w:t>In line with guidance</w:t>
            </w:r>
          </w:p>
        </w:tc>
      </w:tr>
      <w:tr>
        <w:tc>
          <w:tcPr>
            <w:tcW w:type="dxa" w:w="1234"/>
          </w:tcPr>
          <w:p>
            <w:r>
              <w:rPr>
                <w:rFonts w:ascii="Calibri" w:hAnsi="Calibri"/>
                <w:sz w:val="22"/>
              </w:rPr>
              <w:t>Avg. Realized Lithium Price ($/kg)</w:t>
            </w:r>
          </w:p>
        </w:tc>
        <w:tc>
          <w:tcPr>
            <w:tcW w:type="dxa" w:w="1234"/>
          </w:tcPr>
          <w:p>
            <w:r>
              <w:rPr>
                <w:rFonts w:ascii="Calibri" w:hAnsi="Calibri"/>
                <w:sz w:val="22"/>
              </w:rPr>
              <w:t>$16.8/kg</w:t>
            </w:r>
          </w:p>
        </w:tc>
        <w:tc>
          <w:tcPr>
            <w:tcW w:type="dxa" w:w="1234"/>
          </w:tcPr>
          <w:p>
            <w:r>
              <w:rPr>
                <w:rFonts w:ascii="Calibri" w:hAnsi="Calibri"/>
                <w:sz w:val="22"/>
              </w:rPr>
              <w:t>$12.2/kg</w:t>
            </w:r>
          </w:p>
        </w:tc>
        <w:tc>
          <w:tcPr>
            <w:tcW w:type="dxa" w:w="1234"/>
          </w:tcPr>
          <w:p>
            <w:r>
              <w:rPr>
                <w:rFonts w:ascii="Calibri" w:hAnsi="Calibri"/>
                <w:sz w:val="22"/>
              </w:rPr>
              <w:t>$20.9/kg</w:t>
            </w:r>
          </w:p>
        </w:tc>
        <w:tc>
          <w:tcPr>
            <w:tcW w:type="dxa" w:w="1234"/>
          </w:tcPr>
          <w:p>
            <w:r>
              <w:rPr>
                <w:rFonts w:ascii="Calibri" w:hAnsi="Calibri"/>
                <w:sz w:val="22"/>
              </w:rPr>
              <w:t>+71.3%</w:t>
            </w:r>
          </w:p>
        </w:tc>
        <w:tc>
          <w:tcPr>
            <w:tcW w:type="dxa" w:w="1234"/>
          </w:tcPr>
          <w:p>
            <w:r>
              <w:rPr>
                <w:rFonts w:ascii="Calibri" w:hAnsi="Calibri"/>
                <w:sz w:val="22"/>
              </w:rPr>
              <w:t>~$20/kg scenario (Q1 2026 avg. price case)</w:t>
            </w:r>
          </w:p>
        </w:tc>
        <w:tc>
          <w:tcPr>
            <w:tcW w:type="dxa" w:w="1234"/>
          </w:tcPr>
          <w:p>
            <w:r>
              <w:rPr>
                <w:rFonts w:ascii="Calibri" w:hAnsi="Calibri"/>
                <w:sz w:val="22"/>
              </w:rPr>
              <w:t>Consensus slightly above $20/kg scenario</w:t>
            </w:r>
          </w:p>
        </w:tc>
      </w:tr>
      <w:tr>
        <w:tc>
          <w:tcPr>
            <w:tcW w:type="dxa" w:w="1234"/>
          </w:tcPr>
          <w:p>
            <w:r>
              <w:rPr>
                <w:rFonts w:ascii="Calibri" w:hAnsi="Calibri"/>
                <w:sz w:val="22"/>
              </w:rPr>
              <w:t>Free Cash Flow ($M, before dividends)</w:t>
            </w:r>
          </w:p>
        </w:tc>
        <w:tc>
          <w:tcPr>
            <w:tcW w:type="dxa" w:w="1234"/>
          </w:tcPr>
          <w:p>
            <w:r>
              <w:rPr>
                <w:rFonts w:ascii="Calibri" w:hAnsi="Calibri"/>
                <w:sz w:val="22"/>
              </w:rPr>
              <w:t>$248M</w:t>
            </w:r>
          </w:p>
        </w:tc>
        <w:tc>
          <w:tcPr>
            <w:tcW w:type="dxa" w:w="1234"/>
          </w:tcPr>
          <w:p>
            <w:r>
              <w:rPr>
                <w:rFonts w:ascii="Calibri" w:hAnsi="Calibri"/>
                <w:sz w:val="22"/>
              </w:rPr>
              <w:t>-$127M</w:t>
            </w:r>
          </w:p>
        </w:tc>
        <w:tc>
          <w:tcPr>
            <w:tcW w:type="dxa" w:w="1234"/>
          </w:tcPr>
          <w:p>
            <w:r>
              <w:rPr>
                <w:rFonts w:ascii="Calibri" w:hAnsi="Calibri"/>
                <w:sz w:val="22"/>
              </w:rPr>
              <w:t>$57M</w:t>
            </w:r>
          </w:p>
        </w:tc>
        <w:tc>
          <w:tcPr>
            <w:tcW w:type="dxa" w:w="1234"/>
          </w:tcPr>
          <w:p>
            <w:r>
              <w:rPr>
                <w:rFonts w:ascii="Calibri" w:hAnsi="Calibri"/>
                <w:sz w:val="22"/>
              </w:rPr>
              <w:t>N/M (prior year negative)</w:t>
            </w:r>
          </w:p>
        </w:tc>
        <w:tc>
          <w:tcPr>
            <w:tcW w:type="dxa" w:w="1234"/>
          </w:tcPr>
          <w:p>
            <w:r>
              <w:rPr>
                <w:rFonts w:ascii="Calibri" w:hAnsi="Calibri"/>
                <w:sz w:val="22"/>
              </w:rPr>
              <w:t>60–70% operating cash flow conversion at $20/kg</w:t>
            </w:r>
          </w:p>
        </w:tc>
        <w:tc>
          <w:tcPr>
            <w:tcW w:type="dxa" w:w="1234"/>
          </w:tcPr>
          <w:p>
            <w:r>
              <w:rPr>
                <w:rFonts w:ascii="Calibri" w:hAnsi="Calibri"/>
                <w:sz w:val="22"/>
              </w:rPr>
              <w:t>Q2 cons. below Q1 actuals; deferred revenue headwind expected</w:t>
            </w:r>
          </w:p>
        </w:tc>
      </w:tr>
    </w:tbl>
    <w:p>
      <w:r>
        <w:rPr>
          <w:rFonts w:ascii="Calibri" w:hAnsi="Calibri"/>
          <w:b/>
          <w:color w:val="525866"/>
          <w:sz w:val="22"/>
        </w:rPr>
        <w:t xml:space="preserve">Sources: </w:t>
      </w:r>
      <w:r>
        <w:rPr>
          <w:rFonts w:ascii="Calibri" w:hAnsi="Calibri"/>
          <w:color w:val="525866"/>
          <w:sz w:val="22"/>
        </w:rPr>
        <w:t>All consensus estimates and actuals from Visible Alpha Consensus and Actuals Data. Q1 2026 guidance from Albemarle Q1 2026 Earnings Release and Earnings Call Transcript (May 6–7, 2026).</w:t>
      </w:r>
    </w:p>
    <w:p>
      <w:pPr>
        <w:pStyle w:val="Heading3"/>
      </w:pPr>
      <w:r>
        <w:rPr>
          <w:rFonts w:ascii="Calibri" w:hAnsi="Calibri"/>
          <w:b/>
          <w:color w:val="3B4259"/>
          <w:sz w:val="24"/>
        </w:rPr>
        <w:t>Table 2 — Beat/Miss History (Last 8 Quarters)</w:t>
      </w:r>
    </w:p>
    <w:p>
      <w:r>
        <w:rPr>
          <w:rFonts w:ascii="Calibri" w:hAnsi="Calibri"/>
          <w:color w:val="525866"/>
          <w:sz w:val="22"/>
        </w:rPr>
        <w:t>Top 2 KPIs: Adj. EBITDA and Avg. Realized Lithium Price ($/kg)</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Adj. EBITDA</w:t>
            </w:r>
          </w:p>
        </w:tc>
        <w:tc>
          <w:tcPr>
            <w:tcW w:type="dxa" w:w="1440"/>
          </w:tcPr>
          <w:p>
            <w:r>
              <w:rPr>
                <w:rFonts w:ascii="Calibri" w:hAnsi="Calibri"/>
                <w:sz w:val="22"/>
              </w:rPr>
              <w:t>$664M</w:t>
            </w:r>
          </w:p>
        </w:tc>
        <w:tc>
          <w:tcPr>
            <w:tcW w:type="dxa" w:w="1440"/>
          </w:tcPr>
          <w:p>
            <w:r>
              <w:rPr>
                <w:rFonts w:ascii="Calibri" w:hAnsi="Calibri"/>
                <w:sz w:val="22"/>
              </w:rPr>
              <w:t>$449M</w:t>
            </w:r>
          </w:p>
        </w:tc>
        <w:tc>
          <w:tcPr>
            <w:tcW w:type="dxa" w:w="1440"/>
          </w:tcPr>
          <w:p>
            <w:r>
              <w:rPr>
                <w:rFonts w:ascii="Calibri" w:hAnsi="Calibri"/>
                <w:b/>
                <w:color w:val="30A46C"/>
                <w:sz w:val="22"/>
              </w:rPr>
              <w:t>+47.9%</w:t>
            </w:r>
          </w:p>
        </w:tc>
        <w:tc>
          <w:tcPr>
            <w:tcW w:type="dxa" w:w="1440"/>
          </w:tcPr>
          <w:p>
            <w:r>
              <w:rPr>
                <w:rFonts w:ascii="Calibri" w:hAnsi="Calibri"/>
                <w:sz w:val="22"/>
              </w:rPr>
              <w:t>BEAT</w:t>
            </w:r>
          </w:p>
        </w:tc>
      </w:tr>
      <w:tr>
        <w:tc>
          <w:tcPr>
            <w:tcW w:type="dxa" w:w="1440"/>
          </w:tcPr>
          <w:p>
            <w:r>
              <w:rPr>
                <w:rFonts w:ascii="Calibri" w:hAnsi="Calibri"/>
                <w:sz w:val="22"/>
              </w:rPr>
              <w:t>Q1 2026</w:t>
            </w:r>
          </w:p>
        </w:tc>
        <w:tc>
          <w:tcPr>
            <w:tcW w:type="dxa" w:w="1440"/>
          </w:tcPr>
          <w:p>
            <w:r>
              <w:rPr>
                <w:rFonts w:ascii="Calibri" w:hAnsi="Calibri"/>
                <w:sz w:val="22"/>
              </w:rPr>
              <w:t>Avg. Realized Price ($/kg)</w:t>
            </w:r>
          </w:p>
        </w:tc>
        <w:tc>
          <w:tcPr>
            <w:tcW w:type="dxa" w:w="1440"/>
          </w:tcPr>
          <w:p>
            <w:r>
              <w:rPr>
                <w:rFonts w:ascii="Calibri" w:hAnsi="Calibri"/>
                <w:sz w:val="22"/>
              </w:rPr>
              <w:t>$16.8/kg</w:t>
            </w:r>
          </w:p>
        </w:tc>
        <w:tc>
          <w:tcPr>
            <w:tcW w:type="dxa" w:w="1440"/>
          </w:tcPr>
          <w:p>
            <w:r>
              <w:rPr>
                <w:rFonts w:ascii="Calibri" w:hAnsi="Calibri"/>
                <w:sz w:val="22"/>
              </w:rPr>
              <w:t>$16.6/kg</w:t>
            </w:r>
          </w:p>
        </w:tc>
        <w:tc>
          <w:tcPr>
            <w:tcW w:type="dxa" w:w="1440"/>
          </w:tcPr>
          <w:p>
            <w:r>
              <w:rPr>
                <w:rFonts w:ascii="Calibri" w:hAnsi="Calibri"/>
                <w:b/>
                <w:color w:val="30A46C"/>
                <w:sz w:val="22"/>
              </w:rPr>
              <w:t>+1.3%</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Adj. EBITDA</w:t>
            </w:r>
          </w:p>
        </w:tc>
        <w:tc>
          <w:tcPr>
            <w:tcW w:type="dxa" w:w="1440"/>
          </w:tcPr>
          <w:p>
            <w:r>
              <w:rPr>
                <w:rFonts w:ascii="Calibri" w:hAnsi="Calibri"/>
                <w:sz w:val="22"/>
              </w:rPr>
              <w:t>$269M</w:t>
            </w:r>
          </w:p>
        </w:tc>
        <w:tc>
          <w:tcPr>
            <w:tcW w:type="dxa" w:w="1440"/>
          </w:tcPr>
          <w:p>
            <w:r>
              <w:rPr>
                <w:rFonts w:ascii="Calibri" w:hAnsi="Calibri"/>
                <w:sz w:val="22"/>
              </w:rPr>
              <w:t>$236M</w:t>
            </w:r>
          </w:p>
        </w:tc>
        <w:tc>
          <w:tcPr>
            <w:tcW w:type="dxa" w:w="1440"/>
          </w:tcPr>
          <w:p>
            <w:r>
              <w:rPr>
                <w:rFonts w:ascii="Calibri" w:hAnsi="Calibri"/>
                <w:b/>
                <w:color w:val="30A46C"/>
                <w:sz w:val="22"/>
              </w:rPr>
              <w:t>+14.0%</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Avg. Realized Price ($/kg)</w:t>
            </w:r>
          </w:p>
        </w:tc>
        <w:tc>
          <w:tcPr>
            <w:tcW w:type="dxa" w:w="1440"/>
          </w:tcPr>
          <w:p>
            <w:r>
              <w:rPr>
                <w:rFonts w:ascii="Calibri" w:hAnsi="Calibri"/>
                <w:sz w:val="22"/>
              </w:rPr>
              <w:t>$12.0/kg</w:t>
            </w:r>
          </w:p>
        </w:tc>
        <w:tc>
          <w:tcPr>
            <w:tcW w:type="dxa" w:w="1440"/>
          </w:tcPr>
          <w:p>
            <w:r>
              <w:rPr>
                <w:rFonts w:ascii="Calibri" w:hAnsi="Calibri"/>
                <w:sz w:val="22"/>
              </w:rPr>
              <w:t>$12.0/kg</w:t>
            </w:r>
          </w:p>
        </w:tc>
        <w:tc>
          <w:tcPr>
            <w:tcW w:type="dxa" w:w="1440"/>
          </w:tcPr>
          <w:p>
            <w:r>
              <w:rPr>
                <w:rFonts w:ascii="Calibri" w:hAnsi="Calibri"/>
                <w:sz w:val="22"/>
              </w:rPr>
              <w:t>0.0%</w:t>
            </w:r>
          </w:p>
        </w:tc>
        <w:tc>
          <w:tcPr>
            <w:tcW w:type="dxa" w:w="1440"/>
          </w:tcPr>
          <w:p>
            <w:r>
              <w:rPr>
                <w:rFonts w:ascii="Calibri" w:hAnsi="Calibri"/>
                <w:sz w:val="22"/>
              </w:rPr>
              <w:t>IN LINE</w:t>
            </w:r>
          </w:p>
        </w:tc>
      </w:tr>
      <w:tr>
        <w:tc>
          <w:tcPr>
            <w:tcW w:type="dxa" w:w="1440"/>
          </w:tcPr>
          <w:p>
            <w:r>
              <w:rPr>
                <w:rFonts w:ascii="Calibri" w:hAnsi="Calibri"/>
                <w:sz w:val="22"/>
              </w:rPr>
              <w:t>Q3 2025</w:t>
            </w:r>
          </w:p>
        </w:tc>
        <w:tc>
          <w:tcPr>
            <w:tcW w:type="dxa" w:w="1440"/>
          </w:tcPr>
          <w:p>
            <w:r>
              <w:rPr>
                <w:rFonts w:ascii="Calibri" w:hAnsi="Calibri"/>
                <w:sz w:val="22"/>
              </w:rPr>
              <w:t>Adj. EBITDA</w:t>
            </w:r>
          </w:p>
        </w:tc>
        <w:tc>
          <w:tcPr>
            <w:tcW w:type="dxa" w:w="1440"/>
          </w:tcPr>
          <w:p>
            <w:r>
              <w:rPr>
                <w:rFonts w:ascii="Calibri" w:hAnsi="Calibri"/>
                <w:sz w:val="22"/>
              </w:rPr>
              <w:t>$226M</w:t>
            </w:r>
          </w:p>
        </w:tc>
        <w:tc>
          <w:tcPr>
            <w:tcW w:type="dxa" w:w="1440"/>
          </w:tcPr>
          <w:p>
            <w:r>
              <w:rPr>
                <w:rFonts w:ascii="Calibri" w:hAnsi="Calibri"/>
                <w:sz w:val="22"/>
              </w:rPr>
              <w:t>$188M</w:t>
            </w:r>
          </w:p>
        </w:tc>
        <w:tc>
          <w:tcPr>
            <w:tcW w:type="dxa" w:w="1440"/>
          </w:tcPr>
          <w:p>
            <w:r>
              <w:rPr>
                <w:rFonts w:ascii="Calibri" w:hAnsi="Calibri"/>
                <w:b/>
                <w:color w:val="30A46C"/>
                <w:sz w:val="22"/>
              </w:rPr>
              <w:t>+20.2%</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Avg. Realized Price ($/kg)</w:t>
            </w:r>
          </w:p>
        </w:tc>
        <w:tc>
          <w:tcPr>
            <w:tcW w:type="dxa" w:w="1440"/>
          </w:tcPr>
          <w:p>
            <w:r>
              <w:rPr>
                <w:rFonts w:ascii="Calibri" w:hAnsi="Calibri"/>
                <w:sz w:val="22"/>
              </w:rPr>
              <w:t>$10.3/kg</w:t>
            </w:r>
          </w:p>
        </w:tc>
        <w:tc>
          <w:tcPr>
            <w:tcW w:type="dxa" w:w="1440"/>
          </w:tcPr>
          <w:p>
            <w:r>
              <w:rPr>
                <w:rFonts w:ascii="Calibri" w:hAnsi="Calibri"/>
                <w:sz w:val="22"/>
              </w:rPr>
              <w:t>$11.1/kg</w:t>
            </w:r>
          </w:p>
        </w:tc>
        <w:tc>
          <w:tcPr>
            <w:tcW w:type="dxa" w:w="1440"/>
          </w:tcPr>
          <w:p>
            <w:r>
              <w:rPr>
                <w:rFonts w:ascii="Calibri" w:hAnsi="Calibri"/>
                <w:b/>
                <w:color w:val="E5484D"/>
                <w:sz w:val="22"/>
              </w:rPr>
              <w:t>-7.2%</w:t>
            </w:r>
          </w:p>
        </w:tc>
        <w:tc>
          <w:tcPr>
            <w:tcW w:type="dxa" w:w="1440"/>
          </w:tcPr>
          <w:p>
            <w:r>
              <w:rPr>
                <w:rFonts w:ascii="Calibri" w:hAnsi="Calibri"/>
                <w:sz w:val="22"/>
              </w:rPr>
              <w:t>MISS</w:t>
            </w:r>
          </w:p>
        </w:tc>
      </w:tr>
      <w:tr>
        <w:tc>
          <w:tcPr>
            <w:tcW w:type="dxa" w:w="1440"/>
          </w:tcPr>
          <w:p>
            <w:r>
              <w:rPr>
                <w:rFonts w:ascii="Calibri" w:hAnsi="Calibri"/>
                <w:sz w:val="22"/>
              </w:rPr>
              <w:t>Q2 2025</w:t>
            </w:r>
          </w:p>
        </w:tc>
        <w:tc>
          <w:tcPr>
            <w:tcW w:type="dxa" w:w="1440"/>
          </w:tcPr>
          <w:p>
            <w:r>
              <w:rPr>
                <w:rFonts w:ascii="Calibri" w:hAnsi="Calibri"/>
                <w:sz w:val="22"/>
              </w:rPr>
              <w:t>Adj. EBITDA</w:t>
            </w:r>
          </w:p>
        </w:tc>
        <w:tc>
          <w:tcPr>
            <w:tcW w:type="dxa" w:w="1440"/>
          </w:tcPr>
          <w:p>
            <w:r>
              <w:rPr>
                <w:rFonts w:ascii="Calibri" w:hAnsi="Calibri"/>
                <w:sz w:val="22"/>
              </w:rPr>
              <w:t>$337M</w:t>
            </w:r>
          </w:p>
        </w:tc>
        <w:tc>
          <w:tcPr>
            <w:tcW w:type="dxa" w:w="1440"/>
          </w:tcPr>
          <w:p>
            <w:r>
              <w:rPr>
                <w:rFonts w:ascii="Calibri" w:hAnsi="Calibri"/>
                <w:sz w:val="22"/>
              </w:rPr>
              <w:t>$187M</w:t>
            </w:r>
          </w:p>
        </w:tc>
        <w:tc>
          <w:tcPr>
            <w:tcW w:type="dxa" w:w="1440"/>
          </w:tcPr>
          <w:p>
            <w:r>
              <w:rPr>
                <w:rFonts w:ascii="Calibri" w:hAnsi="Calibri"/>
                <w:b/>
                <w:color w:val="30A46C"/>
                <w:sz w:val="22"/>
              </w:rPr>
              <w:t>+80.2%</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Avg. Realized Price ($/kg)</w:t>
            </w:r>
          </w:p>
        </w:tc>
        <w:tc>
          <w:tcPr>
            <w:tcW w:type="dxa" w:w="1440"/>
          </w:tcPr>
          <w:p>
            <w:r>
              <w:rPr>
                <w:rFonts w:ascii="Calibri" w:hAnsi="Calibri"/>
                <w:sz w:val="22"/>
              </w:rPr>
              <w:t>$12.2/kg</w:t>
            </w:r>
          </w:p>
        </w:tc>
        <w:tc>
          <w:tcPr>
            <w:tcW w:type="dxa" w:w="1440"/>
          </w:tcPr>
          <w:p>
            <w:r>
              <w:rPr>
                <w:rFonts w:ascii="Calibri" w:hAnsi="Calibri"/>
                <w:sz w:val="22"/>
              </w:rPr>
              <w:t>$10.7/kg</w:t>
            </w:r>
          </w:p>
        </w:tc>
        <w:tc>
          <w:tcPr>
            <w:tcW w:type="dxa" w:w="1440"/>
          </w:tcPr>
          <w:p>
            <w:r>
              <w:rPr>
                <w:rFonts w:ascii="Calibri" w:hAnsi="Calibri"/>
                <w:b/>
                <w:color w:val="30A46C"/>
                <w:sz w:val="22"/>
              </w:rPr>
              <w:t>+13.6%</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Adj. EBITDA</w:t>
            </w:r>
          </w:p>
        </w:tc>
        <w:tc>
          <w:tcPr>
            <w:tcW w:type="dxa" w:w="1440"/>
          </w:tcPr>
          <w:p>
            <w:r>
              <w:rPr>
                <w:rFonts w:ascii="Calibri" w:hAnsi="Calibri"/>
                <w:sz w:val="22"/>
              </w:rPr>
              <w:t>$267M</w:t>
            </w:r>
          </w:p>
        </w:tc>
        <w:tc>
          <w:tcPr>
            <w:tcW w:type="dxa" w:w="1440"/>
          </w:tcPr>
          <w:p>
            <w:r>
              <w:rPr>
                <w:rFonts w:ascii="Calibri" w:hAnsi="Calibri"/>
                <w:sz w:val="22"/>
              </w:rPr>
              <w:t>$204M</w:t>
            </w:r>
          </w:p>
        </w:tc>
        <w:tc>
          <w:tcPr>
            <w:tcW w:type="dxa" w:w="1440"/>
          </w:tcPr>
          <w:p>
            <w:r>
              <w:rPr>
                <w:rFonts w:ascii="Calibri" w:hAnsi="Calibri"/>
                <w:b/>
                <w:color w:val="30A46C"/>
                <w:sz w:val="22"/>
              </w:rPr>
              <w:t>+30.9%</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Avg. Realized Price ($/kg)</w:t>
            </w:r>
          </w:p>
        </w:tc>
        <w:tc>
          <w:tcPr>
            <w:tcW w:type="dxa" w:w="1440"/>
          </w:tcPr>
          <w:p>
            <w:r>
              <w:rPr>
                <w:rFonts w:ascii="Calibri" w:hAnsi="Calibri"/>
                <w:sz w:val="22"/>
              </w:rPr>
              <w:t>$11.9/kg</w:t>
            </w:r>
          </w:p>
        </w:tc>
        <w:tc>
          <w:tcPr>
            <w:tcW w:type="dxa" w:w="1440"/>
          </w:tcPr>
          <w:p>
            <w:r>
              <w:rPr>
                <w:rFonts w:ascii="Calibri" w:hAnsi="Calibri"/>
                <w:sz w:val="22"/>
              </w:rPr>
              <w:t>$12.8/kg</w:t>
            </w:r>
          </w:p>
        </w:tc>
        <w:tc>
          <w:tcPr>
            <w:tcW w:type="dxa" w:w="1440"/>
          </w:tcPr>
          <w:p>
            <w:r>
              <w:rPr>
                <w:rFonts w:ascii="Calibri" w:hAnsi="Calibri"/>
                <w:b/>
                <w:color w:val="E5484D"/>
                <w:sz w:val="22"/>
              </w:rPr>
              <w:t>-6.9%</w:t>
            </w:r>
          </w:p>
        </w:tc>
        <w:tc>
          <w:tcPr>
            <w:tcW w:type="dxa" w:w="1440"/>
          </w:tcPr>
          <w:p>
            <w:r>
              <w:rPr>
                <w:rFonts w:ascii="Calibri" w:hAnsi="Calibri"/>
                <w:sz w:val="22"/>
              </w:rPr>
              <w:t>MISS</w:t>
            </w:r>
          </w:p>
        </w:tc>
      </w:tr>
      <w:tr>
        <w:tc>
          <w:tcPr>
            <w:tcW w:type="dxa" w:w="1440"/>
          </w:tcPr>
          <w:p>
            <w:r>
              <w:rPr>
                <w:rFonts w:ascii="Calibri" w:hAnsi="Calibri"/>
                <w:sz w:val="22"/>
              </w:rPr>
              <w:t>Q4 2024</w:t>
            </w:r>
          </w:p>
        </w:tc>
        <w:tc>
          <w:tcPr>
            <w:tcW w:type="dxa" w:w="1440"/>
          </w:tcPr>
          <w:p>
            <w:r>
              <w:rPr>
                <w:rFonts w:ascii="Calibri" w:hAnsi="Calibri"/>
                <w:sz w:val="22"/>
              </w:rPr>
              <w:t>Adj. EBITDA</w:t>
            </w:r>
          </w:p>
        </w:tc>
        <w:tc>
          <w:tcPr>
            <w:tcW w:type="dxa" w:w="1440"/>
          </w:tcPr>
          <w:p>
            <w:r>
              <w:rPr>
                <w:rFonts w:ascii="Calibri" w:hAnsi="Calibri"/>
                <w:sz w:val="22"/>
              </w:rPr>
              <w:t>$251M</w:t>
            </w:r>
          </w:p>
        </w:tc>
        <w:tc>
          <w:tcPr>
            <w:tcW w:type="dxa" w:w="1440"/>
          </w:tcPr>
          <w:p>
            <w:r>
              <w:rPr>
                <w:rFonts w:ascii="Calibri" w:hAnsi="Calibri"/>
                <w:sz w:val="22"/>
              </w:rPr>
              <w:t>$178M</w:t>
            </w:r>
          </w:p>
        </w:tc>
        <w:tc>
          <w:tcPr>
            <w:tcW w:type="dxa" w:w="1440"/>
          </w:tcPr>
          <w:p>
            <w:r>
              <w:rPr>
                <w:rFonts w:ascii="Calibri" w:hAnsi="Calibri"/>
                <w:b/>
                <w:color w:val="30A46C"/>
                <w:sz w:val="22"/>
              </w:rPr>
              <w:t>+41.0%</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Avg. Realized Price ($/kg)</w:t>
            </w:r>
          </w:p>
        </w:tc>
        <w:tc>
          <w:tcPr>
            <w:tcW w:type="dxa" w:w="1440"/>
          </w:tcPr>
          <w:p>
            <w:r>
              <w:rPr>
                <w:rFonts w:ascii="Calibri" w:hAnsi="Calibri"/>
                <w:sz w:val="22"/>
              </w:rPr>
              <w:t>$12.6/kg</w:t>
            </w:r>
          </w:p>
        </w:tc>
        <w:tc>
          <w:tcPr>
            <w:tcW w:type="dxa" w:w="1440"/>
          </w:tcPr>
          <w:p>
            <w:r>
              <w:rPr>
                <w:rFonts w:ascii="Calibri" w:hAnsi="Calibri"/>
                <w:sz w:val="22"/>
              </w:rPr>
              <w:t>$12.3/kg</w:t>
            </w:r>
          </w:p>
        </w:tc>
        <w:tc>
          <w:tcPr>
            <w:tcW w:type="dxa" w:w="1440"/>
          </w:tcPr>
          <w:p>
            <w:r>
              <w:rPr>
                <w:rFonts w:ascii="Calibri" w:hAnsi="Calibri"/>
                <w:b/>
                <w:color w:val="30A46C"/>
                <w:sz w:val="22"/>
              </w:rPr>
              <w:t>+2.4%</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Adj. EBITDA</w:t>
            </w:r>
          </w:p>
        </w:tc>
        <w:tc>
          <w:tcPr>
            <w:tcW w:type="dxa" w:w="1440"/>
          </w:tcPr>
          <w:p>
            <w:r>
              <w:rPr>
                <w:rFonts w:ascii="Calibri" w:hAnsi="Calibri"/>
                <w:sz w:val="22"/>
              </w:rPr>
              <w:t>$211M</w:t>
            </w:r>
          </w:p>
        </w:tc>
        <w:tc>
          <w:tcPr>
            <w:tcW w:type="dxa" w:w="1440"/>
          </w:tcPr>
          <w:p>
            <w:r>
              <w:rPr>
                <w:rFonts w:ascii="Calibri" w:hAnsi="Calibri"/>
                <w:sz w:val="22"/>
              </w:rPr>
              <w:t>$181M</w:t>
            </w:r>
          </w:p>
        </w:tc>
        <w:tc>
          <w:tcPr>
            <w:tcW w:type="dxa" w:w="1440"/>
          </w:tcPr>
          <w:p>
            <w:r>
              <w:rPr>
                <w:rFonts w:ascii="Calibri" w:hAnsi="Calibri"/>
                <w:b/>
                <w:color w:val="30A46C"/>
                <w:sz w:val="22"/>
              </w:rPr>
              <w:t>+16.6%</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Avg. Realized Price ($/kg)</w:t>
            </w:r>
          </w:p>
        </w:tc>
        <w:tc>
          <w:tcPr>
            <w:tcW w:type="dxa" w:w="1440"/>
          </w:tcPr>
          <w:p>
            <w:r>
              <w:rPr>
                <w:rFonts w:ascii="Calibri" w:hAnsi="Calibri"/>
                <w:sz w:val="22"/>
              </w:rPr>
              <w:t>$12.8/kg</w:t>
            </w:r>
          </w:p>
        </w:tc>
        <w:tc>
          <w:tcPr>
            <w:tcW w:type="dxa" w:w="1440"/>
          </w:tcPr>
          <w:p>
            <w:r>
              <w:rPr>
                <w:rFonts w:ascii="Calibri" w:hAnsi="Calibri"/>
                <w:sz w:val="22"/>
              </w:rPr>
              <w:t>$13.2/kg</w:t>
            </w:r>
          </w:p>
        </w:tc>
        <w:tc>
          <w:tcPr>
            <w:tcW w:type="dxa" w:w="1440"/>
          </w:tcPr>
          <w:p>
            <w:r>
              <w:rPr>
                <w:rFonts w:ascii="Calibri" w:hAnsi="Calibri"/>
                <w:b/>
                <w:color w:val="E5484D"/>
                <w:sz w:val="22"/>
              </w:rPr>
              <w:t>-3.0%</w:t>
            </w:r>
          </w:p>
        </w:tc>
        <w:tc>
          <w:tcPr>
            <w:tcW w:type="dxa" w:w="1440"/>
          </w:tcPr>
          <w:p>
            <w:r>
              <w:rPr>
                <w:rFonts w:ascii="Calibri" w:hAnsi="Calibri"/>
                <w:sz w:val="22"/>
              </w:rPr>
              <w:t>MISS</w:t>
            </w:r>
          </w:p>
        </w:tc>
      </w:tr>
      <w:tr>
        <w:tc>
          <w:tcPr>
            <w:tcW w:type="dxa" w:w="1440"/>
          </w:tcPr>
          <w:p>
            <w:r>
              <w:rPr>
                <w:rFonts w:ascii="Calibri" w:hAnsi="Calibri"/>
                <w:sz w:val="22"/>
              </w:rPr>
              <w:t>Q2 2024</w:t>
            </w:r>
          </w:p>
        </w:tc>
        <w:tc>
          <w:tcPr>
            <w:tcW w:type="dxa" w:w="1440"/>
          </w:tcPr>
          <w:p>
            <w:r>
              <w:rPr>
                <w:rFonts w:ascii="Calibri" w:hAnsi="Calibri"/>
                <w:sz w:val="22"/>
              </w:rPr>
              <w:t>Adj. EBITDA</w:t>
            </w:r>
          </w:p>
        </w:tc>
        <w:tc>
          <w:tcPr>
            <w:tcW w:type="dxa" w:w="1440"/>
          </w:tcPr>
          <w:p>
            <w:r>
              <w:rPr>
                <w:rFonts w:ascii="Calibri" w:hAnsi="Calibri"/>
                <w:sz w:val="22"/>
              </w:rPr>
              <w:t>$386M</w:t>
            </w:r>
          </w:p>
        </w:tc>
        <w:tc>
          <w:tcPr>
            <w:tcW w:type="dxa" w:w="1440"/>
          </w:tcPr>
          <w:p>
            <w:r>
              <w:rPr>
                <w:rFonts w:ascii="Calibri" w:hAnsi="Calibri"/>
                <w:sz w:val="22"/>
              </w:rPr>
              <w:t>$270M</w:t>
            </w:r>
          </w:p>
        </w:tc>
        <w:tc>
          <w:tcPr>
            <w:tcW w:type="dxa" w:w="1440"/>
          </w:tcPr>
          <w:p>
            <w:r>
              <w:rPr>
                <w:rFonts w:ascii="Calibri" w:hAnsi="Calibri"/>
                <w:b/>
                <w:color w:val="30A46C"/>
                <w:sz w:val="22"/>
              </w:rPr>
              <w:t>+42.8%</w:t>
            </w:r>
          </w:p>
        </w:tc>
        <w:tc>
          <w:tcPr>
            <w:tcW w:type="dxa" w:w="1440"/>
          </w:tcPr>
          <w:p>
            <w:r>
              <w:rPr>
                <w:rFonts w:ascii="Calibri" w:hAnsi="Calibri"/>
                <w:sz w:val="22"/>
              </w:rPr>
              <w:t>BEAT</w:t>
            </w:r>
          </w:p>
        </w:tc>
      </w:tr>
      <w:tr>
        <w:tc>
          <w:tcPr>
            <w:tcW w:type="dxa" w:w="1440"/>
          </w:tcPr>
          <w:p>
            <w:r>
              <w:rPr>
                <w:rFonts w:ascii="Calibri" w:hAnsi="Calibri"/>
                <w:sz w:val="22"/>
              </w:rPr>
              <w:t>Q2 2024</w:t>
            </w:r>
          </w:p>
        </w:tc>
        <w:tc>
          <w:tcPr>
            <w:tcW w:type="dxa" w:w="1440"/>
          </w:tcPr>
          <w:p>
            <w:r>
              <w:rPr>
                <w:rFonts w:ascii="Calibri" w:hAnsi="Calibri"/>
                <w:sz w:val="22"/>
              </w:rPr>
              <w:t>Avg. Realized Price ($/kg)</w:t>
            </w:r>
          </w:p>
        </w:tc>
        <w:tc>
          <w:tcPr>
            <w:tcW w:type="dxa" w:w="1440"/>
          </w:tcPr>
          <w:p>
            <w:r>
              <w:rPr>
                <w:rFonts w:ascii="Calibri" w:hAnsi="Calibri"/>
                <w:sz w:val="22"/>
              </w:rPr>
              <w:t>$15.4/kg</w:t>
            </w:r>
          </w:p>
        </w:tc>
        <w:tc>
          <w:tcPr>
            <w:tcW w:type="dxa" w:w="1440"/>
          </w:tcPr>
          <w:p>
            <w:r>
              <w:rPr>
                <w:rFonts w:ascii="Calibri" w:hAnsi="Calibri"/>
                <w:sz w:val="22"/>
              </w:rPr>
              <w:t>$15.2/kg</w:t>
            </w:r>
          </w:p>
        </w:tc>
        <w:tc>
          <w:tcPr>
            <w:tcW w:type="dxa" w:w="1440"/>
          </w:tcPr>
          <w:p>
            <w:r>
              <w:rPr>
                <w:rFonts w:ascii="Calibri" w:hAnsi="Calibri"/>
                <w:b/>
                <w:color w:val="30A46C"/>
                <w:sz w:val="22"/>
              </w:rPr>
              <w:t>+1.4%</w:t>
            </w:r>
          </w:p>
        </w:tc>
        <w:tc>
          <w:tcPr>
            <w:tcW w:type="dxa" w:w="1440"/>
          </w:tcPr>
          <w:p>
            <w:r>
              <w:rPr>
                <w:rFonts w:ascii="Calibri" w:hAnsi="Calibri"/>
                <w:sz w:val="22"/>
              </w:rPr>
              <w:t>BEAT</w:t>
            </w:r>
          </w:p>
        </w:tc>
      </w:tr>
    </w:tbl>
    <w:p>
      <w:r>
        <w:rPr>
          <w:rFonts w:ascii="Calibri" w:hAnsi="Calibri"/>
          <w:b/>
          <w:color w:val="525866"/>
          <w:sz w:val="22"/>
        </w:rPr>
        <w:t xml:space="preserve">Source: </w:t>
      </w:r>
      <w:r>
        <w:rPr>
          <w:rFonts w:ascii="Calibri" w:hAnsi="Calibri"/>
          <w:color w:val="525866"/>
          <w:sz w:val="22"/>
        </w:rPr>
        <w:t>Albemarle Q1 2026 Earnings Release (May 6, 2026) and Q1 2026 Earnings Call Transcript (May 7, 2026). Visible Alpha Consensus and Actuals Data for current consensus figures.</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surged dramatically since the Q1 print — Q2 2026 Adj. EBITDA consensus rose +11.4% and FY 2026 Adj. EBITDA rose +6.0% post-earnings — and current consensus now sits well above the $20/kg scenario guidance midpoint, implying the Street is pricing in lithium prices closer to $25–27/kg. This creates a two-sided risk: upside if prices held near spot, downside if the Q2 pricing reversal noted by Benchmark Minerals flows through to realized prices.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13, 2026)</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Earnings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Total Revenue — Q2 2026</w:t>
            </w:r>
          </w:p>
        </w:tc>
        <w:tc>
          <w:tcPr>
            <w:tcW w:type="dxa" w:w="1080"/>
          </w:tcPr>
          <w:p>
            <w:r>
              <w:rPr>
                <w:rFonts w:ascii="Calibri" w:hAnsi="Calibri"/>
                <w:sz w:val="22"/>
              </w:rPr>
              <w:t>$1,598M</w:t>
            </w:r>
          </w:p>
        </w:tc>
        <w:tc>
          <w:tcPr>
            <w:tcW w:type="dxa" w:w="1080"/>
          </w:tcPr>
          <w:p>
            <w:r>
              <w:rPr>
                <w:rFonts w:ascii="Calibri" w:hAnsi="Calibri"/>
                <w:sz w:val="22"/>
              </w:rPr>
              <w:t>$1,645M</w:t>
            </w:r>
          </w:p>
        </w:tc>
        <w:tc>
          <w:tcPr>
            <w:tcW w:type="dxa" w:w="1080"/>
          </w:tcPr>
          <w:p>
            <w:r>
              <w:rPr>
                <w:rFonts w:ascii="Calibri" w:hAnsi="Calibri"/>
                <w:b/>
                <w:color w:val="30A46C"/>
                <w:sz w:val="22"/>
              </w:rPr>
              <w:t>+2.9%</w:t>
            </w:r>
          </w:p>
        </w:tc>
        <w:tc>
          <w:tcPr>
            <w:tcW w:type="dxa" w:w="1080"/>
          </w:tcPr>
          <w:p>
            <w:r>
              <w:rPr>
                <w:rFonts w:ascii="Calibri" w:hAnsi="Calibri"/>
                <w:sz w:val="22"/>
              </w:rPr>
              <w:t>Sequential increase guided (Energy Storage + Specialties up QoQ)</w:t>
            </w:r>
          </w:p>
        </w:tc>
        <w:tc>
          <w:tcPr>
            <w:tcW w:type="dxa" w:w="1080"/>
          </w:tcPr>
          <w:p>
            <w:r>
              <w:rPr>
                <w:rFonts w:ascii="Calibri" w:hAnsi="Calibri"/>
                <w:sz w:val="22"/>
              </w:rPr>
              <w:t>Unchanged</w:t>
            </w:r>
          </w:p>
        </w:tc>
        <w:tc>
          <w:tcPr>
            <w:tcW w:type="dxa" w:w="1080"/>
          </w:tcPr>
          <w:p>
            <w:r>
              <w:rPr>
                <w:rFonts w:ascii="Calibri" w:hAnsi="Calibri"/>
                <w:sz w:val="22"/>
              </w:rPr>
              <w:t>Flat</w:t>
            </w:r>
          </w:p>
        </w:tc>
        <w:tc>
          <w:tcPr>
            <w:tcW w:type="dxa" w:w="1080"/>
          </w:tcPr>
          <w:p>
            <w:r>
              <w:rPr>
                <w:rFonts w:ascii="Calibri" w:hAnsi="Calibri"/>
                <w:sz w:val="22"/>
              </w:rPr>
              <w:t>Above qualitative guidance</w:t>
            </w:r>
          </w:p>
        </w:tc>
      </w:tr>
      <w:tr>
        <w:tc>
          <w:tcPr>
            <w:tcW w:type="dxa" w:w="1080"/>
          </w:tcPr>
          <w:p>
            <w:r>
              <w:rPr>
                <w:rFonts w:ascii="Calibri" w:hAnsi="Calibri"/>
                <w:sz w:val="22"/>
              </w:rPr>
              <w:t>Total Revenue — FY 2026</w:t>
            </w:r>
          </w:p>
        </w:tc>
        <w:tc>
          <w:tcPr>
            <w:tcW w:type="dxa" w:w="1080"/>
          </w:tcPr>
          <w:p>
            <w:r>
              <w:rPr>
                <w:rFonts w:ascii="Calibri" w:hAnsi="Calibri"/>
                <w:sz w:val="22"/>
              </w:rPr>
              <w:t>$6,324M</w:t>
            </w:r>
          </w:p>
        </w:tc>
        <w:tc>
          <w:tcPr>
            <w:tcW w:type="dxa" w:w="1080"/>
          </w:tcPr>
          <w:p>
            <w:r>
              <w:rPr>
                <w:rFonts w:ascii="Calibri" w:hAnsi="Calibri"/>
                <w:sz w:val="22"/>
              </w:rPr>
              <w:t>$6,497M</w:t>
            </w:r>
          </w:p>
        </w:tc>
        <w:tc>
          <w:tcPr>
            <w:tcW w:type="dxa" w:w="1080"/>
          </w:tcPr>
          <w:p>
            <w:r>
              <w:rPr>
                <w:rFonts w:ascii="Calibri" w:hAnsi="Calibri"/>
                <w:b/>
                <w:color w:val="30A46C"/>
                <w:sz w:val="22"/>
              </w:rPr>
              <w:t>+2.7%</w:t>
            </w:r>
          </w:p>
        </w:tc>
        <w:tc>
          <w:tcPr>
            <w:tcW w:type="dxa" w:w="1080"/>
          </w:tcPr>
          <w:p>
            <w:r>
              <w:rPr>
                <w:rFonts w:ascii="Calibri" w:hAnsi="Calibri"/>
                <w:sz w:val="22"/>
              </w:rPr>
              <w:t>$5.7–6.0B (at $20/kg)</w:t>
            </w:r>
          </w:p>
        </w:tc>
        <w:tc>
          <w:tcPr>
            <w:tcW w:type="dxa" w:w="1080"/>
          </w:tcPr>
          <w:p>
            <w:r>
              <w:rPr>
                <w:rFonts w:ascii="Calibri" w:hAnsi="Calibri"/>
                <w:sz w:val="22"/>
              </w:rPr>
              <w:t>Unchanged</w:t>
            </w:r>
          </w:p>
        </w:tc>
        <w:tc>
          <w:tcPr>
            <w:tcW w:type="dxa" w:w="1080"/>
          </w:tcPr>
          <w:p>
            <w:r>
              <w:rPr>
                <w:rFonts w:ascii="Calibri" w:hAnsi="Calibri"/>
                <w:sz w:val="22"/>
              </w:rPr>
              <w:t>Flat</w:t>
            </w:r>
          </w:p>
        </w:tc>
        <w:tc>
          <w:tcPr>
            <w:tcW w:type="dxa" w:w="1080"/>
          </w:tcPr>
          <w:p>
            <w:r>
              <w:rPr>
                <w:rFonts w:ascii="Calibri" w:hAnsi="Calibri"/>
                <w:sz w:val="22"/>
              </w:rPr>
              <w:t>+8.3% above $20/kg midpoint</w:t>
            </w:r>
          </w:p>
        </w:tc>
      </w:tr>
      <w:tr>
        <w:tc>
          <w:tcPr>
            <w:tcW w:type="dxa" w:w="1080"/>
          </w:tcPr>
          <w:p>
            <w:r>
              <w:rPr>
                <w:rFonts w:ascii="Calibri" w:hAnsi="Calibri"/>
                <w:sz w:val="22"/>
              </w:rPr>
              <w:t>Adj. EBITDA — Q2 2026</w:t>
            </w:r>
          </w:p>
        </w:tc>
        <w:tc>
          <w:tcPr>
            <w:tcW w:type="dxa" w:w="1080"/>
          </w:tcPr>
          <w:p>
            <w:r>
              <w:rPr>
                <w:rFonts w:ascii="Calibri" w:hAnsi="Calibri"/>
                <w:sz w:val="22"/>
              </w:rPr>
              <w:t>$710M</w:t>
            </w:r>
          </w:p>
        </w:tc>
        <w:tc>
          <w:tcPr>
            <w:tcW w:type="dxa" w:w="1080"/>
          </w:tcPr>
          <w:p>
            <w:r>
              <w:rPr>
                <w:rFonts w:ascii="Calibri" w:hAnsi="Calibri"/>
                <w:sz w:val="22"/>
              </w:rPr>
              <w:t>$791M</w:t>
            </w:r>
          </w:p>
        </w:tc>
        <w:tc>
          <w:tcPr>
            <w:tcW w:type="dxa" w:w="1080"/>
          </w:tcPr>
          <w:p>
            <w:r>
              <w:rPr>
                <w:rFonts w:ascii="Calibri" w:hAnsi="Calibri"/>
                <w:b/>
                <w:color w:val="30A46C"/>
                <w:sz w:val="22"/>
              </w:rPr>
              <w:t>+11.4%</w:t>
            </w:r>
          </w:p>
        </w:tc>
        <w:tc>
          <w:tcPr>
            <w:tcW w:type="dxa" w:w="1080"/>
          </w:tcPr>
          <w:p>
            <w:r>
              <w:rPr>
                <w:rFonts w:ascii="Calibri" w:hAnsi="Calibri"/>
                <w:sz w:val="22"/>
              </w:rPr>
              <w:t>Up sequentially (Energy Storage + Specialties); margin compression expected in Energy Storage</w:t>
            </w:r>
          </w:p>
        </w:tc>
        <w:tc>
          <w:tcPr>
            <w:tcW w:type="dxa" w:w="1080"/>
          </w:tcPr>
          <w:p>
            <w:r>
              <w:rPr>
                <w:rFonts w:ascii="Calibri" w:hAnsi="Calibri"/>
                <w:sz w:val="22"/>
              </w:rPr>
              <w:t>Unchanged</w:t>
            </w:r>
          </w:p>
        </w:tc>
        <w:tc>
          <w:tcPr>
            <w:tcW w:type="dxa" w:w="1080"/>
          </w:tcPr>
          <w:p>
            <w:r>
              <w:rPr>
                <w:rFonts w:ascii="Calibri" w:hAnsi="Calibri"/>
                <w:sz w:val="22"/>
              </w:rPr>
              <w:t>Flat</w:t>
            </w:r>
          </w:p>
        </w:tc>
        <w:tc>
          <w:tcPr>
            <w:tcW w:type="dxa" w:w="1080"/>
          </w:tcPr>
          <w:p>
            <w:r>
              <w:rPr>
                <w:rFonts w:ascii="Calibri" w:hAnsi="Calibri"/>
                <w:sz w:val="22"/>
              </w:rPr>
              <w:t>Above qualitative guidance</w:t>
            </w:r>
          </w:p>
        </w:tc>
      </w:tr>
      <w:tr>
        <w:tc>
          <w:tcPr>
            <w:tcW w:type="dxa" w:w="1080"/>
          </w:tcPr>
          <w:p>
            <w:r>
              <w:rPr>
                <w:rFonts w:ascii="Calibri" w:hAnsi="Calibri"/>
                <w:sz w:val="22"/>
              </w:rPr>
              <w:t>Adj. EBITDA — FY 2026</w:t>
            </w:r>
          </w:p>
        </w:tc>
        <w:tc>
          <w:tcPr>
            <w:tcW w:type="dxa" w:w="1080"/>
          </w:tcPr>
          <w:p>
            <w:r>
              <w:rPr>
                <w:rFonts w:ascii="Calibri" w:hAnsi="Calibri"/>
                <w:sz w:val="22"/>
              </w:rPr>
              <w:t>$2,871M</w:t>
            </w:r>
          </w:p>
        </w:tc>
        <w:tc>
          <w:tcPr>
            <w:tcW w:type="dxa" w:w="1080"/>
          </w:tcPr>
          <w:p>
            <w:r>
              <w:rPr>
                <w:rFonts w:ascii="Calibri" w:hAnsi="Calibri"/>
                <w:sz w:val="22"/>
              </w:rPr>
              <w:t>$3,044M</w:t>
            </w:r>
          </w:p>
        </w:tc>
        <w:tc>
          <w:tcPr>
            <w:tcW w:type="dxa" w:w="1080"/>
          </w:tcPr>
          <w:p>
            <w:r>
              <w:rPr>
                <w:rFonts w:ascii="Calibri" w:hAnsi="Calibri"/>
                <w:b/>
                <w:color w:val="30A46C"/>
                <w:sz w:val="22"/>
              </w:rPr>
              <w:t>+6.0%</w:t>
            </w:r>
          </w:p>
        </w:tc>
        <w:tc>
          <w:tcPr>
            <w:tcW w:type="dxa" w:w="1080"/>
          </w:tcPr>
          <w:p>
            <w:r>
              <w:rPr>
                <w:rFonts w:ascii="Calibri" w:hAnsi="Calibri"/>
                <w:sz w:val="22"/>
              </w:rPr>
              <w:t>$2.4–2.6B (at $20/kg)</w:t>
            </w:r>
          </w:p>
        </w:tc>
        <w:tc>
          <w:tcPr>
            <w:tcW w:type="dxa" w:w="1080"/>
          </w:tcPr>
          <w:p>
            <w:r>
              <w:rPr>
                <w:rFonts w:ascii="Calibri" w:hAnsi="Calibri"/>
                <w:sz w:val="22"/>
              </w:rPr>
              <w:t>Unchanged</w:t>
            </w:r>
          </w:p>
        </w:tc>
        <w:tc>
          <w:tcPr>
            <w:tcW w:type="dxa" w:w="1080"/>
          </w:tcPr>
          <w:p>
            <w:r>
              <w:rPr>
                <w:rFonts w:ascii="Calibri" w:hAnsi="Calibri"/>
                <w:sz w:val="22"/>
              </w:rPr>
              <w:t>Flat</w:t>
            </w:r>
          </w:p>
        </w:tc>
        <w:tc>
          <w:tcPr>
            <w:tcW w:type="dxa" w:w="1080"/>
          </w:tcPr>
          <w:p>
            <w:r>
              <w:rPr>
                <w:rFonts w:ascii="Calibri" w:hAnsi="Calibri"/>
                <w:sz w:val="22"/>
              </w:rPr>
              <w:t>+21.8% above $20/kg midpoint</w:t>
            </w:r>
          </w:p>
        </w:tc>
      </w:tr>
      <w:tr>
        <w:tc>
          <w:tcPr>
            <w:tcW w:type="dxa" w:w="1080"/>
          </w:tcPr>
          <w:p>
            <w:r>
              <w:rPr>
                <w:rFonts w:ascii="Calibri" w:hAnsi="Calibri"/>
                <w:sz w:val="22"/>
              </w:rPr>
              <w:t>Adj. EPS — Q2 2026</w:t>
            </w:r>
          </w:p>
        </w:tc>
        <w:tc>
          <w:tcPr>
            <w:tcW w:type="dxa" w:w="1080"/>
          </w:tcPr>
          <w:p>
            <w:r>
              <w:rPr>
                <w:rFonts w:ascii="Calibri" w:hAnsi="Calibri"/>
                <w:sz w:val="22"/>
              </w:rPr>
              <w:t>$2.99</w:t>
            </w:r>
          </w:p>
        </w:tc>
        <w:tc>
          <w:tcPr>
            <w:tcW w:type="dxa" w:w="1080"/>
          </w:tcPr>
          <w:p>
            <w:r>
              <w:rPr>
                <w:rFonts w:ascii="Calibri" w:hAnsi="Calibri"/>
                <w:sz w:val="22"/>
              </w:rPr>
              <w:t>$3.51</w:t>
            </w:r>
          </w:p>
        </w:tc>
        <w:tc>
          <w:tcPr>
            <w:tcW w:type="dxa" w:w="1080"/>
          </w:tcPr>
          <w:p>
            <w:r>
              <w:rPr>
                <w:rFonts w:ascii="Calibri" w:hAnsi="Calibri"/>
                <w:b/>
                <w:color w:val="30A46C"/>
                <w:sz w:val="22"/>
              </w:rPr>
              <w:t>+17.4%</w:t>
            </w:r>
          </w:p>
        </w:tc>
        <w:tc>
          <w:tcPr>
            <w:tcW w:type="dxa" w:w="1080"/>
          </w:tcPr>
          <w:p>
            <w:r>
              <w:rPr>
                <w:rFonts w:ascii="Calibri" w:hAnsi="Calibri"/>
                <w:sz w:val="22"/>
              </w:rPr>
              <w:t>No specific quarterly EPS guidance</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EPS — FY 2026</w:t>
            </w:r>
          </w:p>
        </w:tc>
        <w:tc>
          <w:tcPr>
            <w:tcW w:type="dxa" w:w="1080"/>
          </w:tcPr>
          <w:p>
            <w:r>
              <w:rPr>
                <w:rFonts w:ascii="Calibri" w:hAnsi="Calibri"/>
                <w:sz w:val="22"/>
              </w:rPr>
              <w:t>$12.89</w:t>
            </w:r>
          </w:p>
        </w:tc>
        <w:tc>
          <w:tcPr>
            <w:tcW w:type="dxa" w:w="1080"/>
          </w:tcPr>
          <w:p>
            <w:r>
              <w:rPr>
                <w:rFonts w:ascii="Calibri" w:hAnsi="Calibri"/>
                <w:sz w:val="22"/>
              </w:rPr>
              <w:t>$13.84</w:t>
            </w:r>
          </w:p>
        </w:tc>
        <w:tc>
          <w:tcPr>
            <w:tcW w:type="dxa" w:w="1080"/>
          </w:tcPr>
          <w:p>
            <w:r>
              <w:rPr>
                <w:rFonts w:ascii="Calibri" w:hAnsi="Calibri"/>
                <w:b/>
                <w:color w:val="30A46C"/>
                <w:sz w:val="22"/>
              </w:rPr>
              <w:t>+7.4%</w:t>
            </w:r>
          </w:p>
        </w:tc>
        <w:tc>
          <w:tcPr>
            <w:tcW w:type="dxa" w:w="1080"/>
          </w:tcPr>
          <w:p>
            <w:r>
              <w:rPr>
                <w:rFonts w:ascii="Calibri" w:hAnsi="Calibri"/>
                <w:sz w:val="22"/>
              </w:rPr>
              <w:t>No specific EPS guidance; implied by EBITDA scenarios</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Avg. Realized Price — Q2 2026 ($/kg)</w:t>
            </w:r>
          </w:p>
        </w:tc>
        <w:tc>
          <w:tcPr>
            <w:tcW w:type="dxa" w:w="1080"/>
          </w:tcPr>
          <w:p>
            <w:r>
              <w:rPr>
                <w:rFonts w:ascii="Calibri" w:hAnsi="Calibri"/>
                <w:sz w:val="22"/>
              </w:rPr>
              <w:t>$20.6/kg</w:t>
            </w:r>
          </w:p>
        </w:tc>
        <w:tc>
          <w:tcPr>
            <w:tcW w:type="dxa" w:w="1080"/>
          </w:tcPr>
          <w:p>
            <w:r>
              <w:rPr>
                <w:rFonts w:ascii="Calibri" w:hAnsi="Calibri"/>
                <w:sz w:val="22"/>
              </w:rPr>
              <w:t>$20.9/kg</w:t>
            </w:r>
          </w:p>
        </w:tc>
        <w:tc>
          <w:tcPr>
            <w:tcW w:type="dxa" w:w="1080"/>
          </w:tcPr>
          <w:p>
            <w:r>
              <w:rPr>
                <w:rFonts w:ascii="Calibri" w:hAnsi="Calibri"/>
                <w:b/>
                <w:color w:val="30A46C"/>
                <w:sz w:val="22"/>
              </w:rPr>
              <w:t>+1.5%</w:t>
            </w:r>
          </w:p>
        </w:tc>
        <w:tc>
          <w:tcPr>
            <w:tcW w:type="dxa" w:w="1080"/>
          </w:tcPr>
          <w:p>
            <w:r>
              <w:rPr>
                <w:rFonts w:ascii="Calibri" w:hAnsi="Calibri"/>
                <w:sz w:val="22"/>
              </w:rPr>
              <w:t>~$20/kg scenario (Q1 2026 avg. price case)</w:t>
            </w:r>
          </w:p>
        </w:tc>
        <w:tc>
          <w:tcPr>
            <w:tcW w:type="dxa" w:w="1080"/>
          </w:tcPr>
          <w:p>
            <w:r>
              <w:rPr>
                <w:rFonts w:ascii="Calibri" w:hAnsi="Calibri"/>
                <w:sz w:val="22"/>
              </w:rPr>
              <w:t>Unchanged</w:t>
            </w:r>
          </w:p>
        </w:tc>
        <w:tc>
          <w:tcPr>
            <w:tcW w:type="dxa" w:w="1080"/>
          </w:tcPr>
          <w:p>
            <w:r>
              <w:rPr>
                <w:rFonts w:ascii="Calibri" w:hAnsi="Calibri"/>
                <w:sz w:val="22"/>
              </w:rPr>
              <w:t>Flat</w:t>
            </w:r>
          </w:p>
        </w:tc>
        <w:tc>
          <w:tcPr>
            <w:tcW w:type="dxa" w:w="1080"/>
          </w:tcPr>
          <w:p>
            <w:r>
              <w:rPr>
                <w:rFonts w:ascii="Calibri" w:hAnsi="Calibri"/>
                <w:sz w:val="22"/>
              </w:rPr>
              <w:t>+4.5% above $20/kg scenario</w:t>
            </w:r>
          </w:p>
        </w:tc>
      </w:tr>
    </w:tbl>
    <w:p>
      <w:r>
        <w:rPr>
          <w:rFonts w:ascii="Calibri" w:hAnsi="Calibri"/>
          <w:b/>
          <w:color w:val="525866"/>
          <w:sz w:val="22"/>
        </w:rPr>
        <w:t xml:space="preserve">Source: </w:t>
      </w:r>
      <w:r>
        <w:rPr>
          <w:rFonts w:ascii="Calibri" w:hAnsi="Calibri"/>
          <w:color w:val="525866"/>
          <w:sz w:val="22"/>
        </w:rPr>
        <w:t>SEC Form 4 filing, J. Kent Masters (ALB), filed May 19, 2026. No other open-market buys or sells were filed by ALB insiders in the period from May 6 to August 4, 2026. No 10b5-1 plan initiations were identified in the period.</w:t>
      </w:r>
    </w:p>
    <w:p>
      <w:r>
        <w:br w:type="page"/>
      </w:r>
    </w:p>
    <w:p>
      <w:pPr>
        <w:pStyle w:val="Heading2"/>
      </w:pPr>
      <w:r>
        <w:rPr>
          <w:rFonts w:ascii="Calibri" w:hAnsi="Calibri"/>
          <w:b/>
          <w:color w:val="3B4259"/>
          <w:sz w:val="28"/>
        </w:rPr>
        <w:t>9. Risks &amp; Considerations</w:t>
      </w:r>
    </w:p>
    <w:p>
      <w:pPr>
        <w:pStyle w:val="Heading3"/>
      </w:pPr>
      <w:r>
        <w:rPr>
          <w:rFonts w:ascii="Calibri" w:hAnsi="Calibri"/>
          <w:b/>
          <w:color w:val="3B4259"/>
          <w:sz w:val="24"/>
        </w:rPr>
        <w:t>Downside Risks</w:t>
      </w:r>
    </w:p>
    <w:p>
      <w:pPr>
        <w:pStyle w:val="ListBullet"/>
        <w:ind w:left="360" w:hanging="360"/>
      </w:pPr>
      <w:r>
        <w:rPr>
          <w:rFonts w:ascii="Calibri" w:hAnsi="Calibri"/>
          <w:b/>
          <w:color w:val="525866"/>
          <w:sz w:val="22"/>
        </w:rPr>
        <w:t>Lithium Price Reversal in Late Q2:</w:t>
      </w:r>
      <w:r>
        <w:rPr>
          <w:rFonts w:ascii="Calibri" w:hAnsi="Calibri"/>
          <w:color w:val="525866"/>
          <w:sz w:val="22"/>
        </w:rPr>
        <w:t xml:space="preserve"> Benchmark Minerals noted a "continued rally before reversal" in Q2 2026. If Chinese spot prices softened materially in June, ALB's realized price could come in below the $20.9/kg consensus estimate, compressing Energy Storage EBITDA margins below the already-guided sequential decline.</w:t>
      </w:r>
    </w:p>
    <w:p>
      <w:pPr>
        <w:pStyle w:val="ListBullet"/>
        <w:ind w:left="360" w:hanging="360"/>
      </w:pPr>
      <w:r>
        <w:rPr>
          <w:rFonts w:ascii="Calibri" w:hAnsi="Calibri"/>
          <w:b/>
          <w:color w:val="525866"/>
          <w:sz w:val="22"/>
        </w:rPr>
        <w:t>Middle East Supply Chain Costs:</w:t>
      </w:r>
      <w:r>
        <w:rPr>
          <w:rFonts w:ascii="Calibri" w:hAnsi="Calibri"/>
          <w:color w:val="525866"/>
          <w:sz w:val="22"/>
        </w:rPr>
        <w:t xml:space="preserve"> Management guided $70–90M of unmitigated full-year cost impact from Middle East geopolitical tensions. Q2 Energy Storage EBITDA margins were explicitly guided to decline sequentially due to higher supply chain costs and spodumene inventory timing. If costs exceeded the guided range, Q2 EBITDA could disappoint.</w:t>
      </w:r>
    </w:p>
    <w:p>
      <w:pPr>
        <w:pStyle w:val="ListBullet"/>
        <w:ind w:left="360" w:hanging="360"/>
      </w:pPr>
      <w:r>
        <w:rPr>
          <w:rFonts w:ascii="Calibri" w:hAnsi="Calibri"/>
          <w:b/>
          <w:color w:val="525866"/>
          <w:sz w:val="22"/>
        </w:rPr>
        <w:t>Greenbushes Safety Concerns:</w:t>
      </w:r>
      <w:r>
        <w:rPr>
          <w:rFonts w:ascii="Calibri" w:hAnsi="Calibri"/>
          <w:color w:val="525866"/>
          <w:sz w:val="22"/>
        </w:rPr>
        <w:t xml:space="preserve"> Management acknowledged safety concerns at the Greenbushes mine for the first time on the Q1 call, though characterized operations as on plan and CGP3 ramp on schedule. Any safety-related production disruption would be a negative surprise for volumes.</w:t>
      </w:r>
    </w:p>
    <w:p>
      <w:pPr>
        <w:pStyle w:val="ListBullet"/>
        <w:ind w:left="360" w:hanging="360"/>
      </w:pPr>
      <w:r>
        <w:rPr>
          <w:rFonts w:ascii="Calibri" w:hAnsi="Calibri"/>
          <w:b/>
          <w:color w:val="525866"/>
          <w:sz w:val="22"/>
        </w:rPr>
        <w:t>Spodumene Inventory Timing:</w:t>
      </w:r>
      <w:r>
        <w:rPr>
          <w:rFonts w:ascii="Calibri" w:hAnsi="Calibri"/>
          <w:color w:val="525866"/>
          <w:sz w:val="22"/>
        </w:rPr>
        <w:t xml:space="preserve"> Management explicitly flagged that Q2 Energy Storage EBITDA margin would be impacted by the timing of spodumene inventory consumption. If higher-cost spodumene inventory flows through in Q2, margins could compress more than expected.</w:t>
      </w:r>
    </w:p>
    <w:p>
      <w:pPr>
        <w:pStyle w:val="ListBullet"/>
        <w:ind w:left="360" w:hanging="360"/>
      </w:pPr>
      <w:r>
        <w:rPr>
          <w:rFonts w:ascii="Calibri" w:hAnsi="Calibri"/>
          <w:b/>
          <w:color w:val="525866"/>
          <w:sz w:val="22"/>
        </w:rPr>
        <w:t>Growing Peer Supply:</w:t>
      </w:r>
      <w:r>
        <w:rPr>
          <w:rFonts w:ascii="Calibri" w:hAnsi="Calibri"/>
          <w:color w:val="525866"/>
          <w:sz w:val="22"/>
        </w:rPr>
        <w:t xml:space="preserve"> PLS (FY27 production +17% YoY), RIO (targeting ~200 KT LCE by 2028), and SGML (Phase 2/3 expansions) are all adding supply. While near-term demand is strong (energy storage up 117% YoY), the medium-term supply/demand balance could tighten pricing.</w:t>
      </w:r>
    </w:p>
    <w:p>
      <w:pPr>
        <w:pStyle w:val="ListBullet"/>
        <w:ind w:left="360" w:hanging="360"/>
      </w:pPr>
      <w:r>
        <w:rPr>
          <w:rFonts w:ascii="Calibri" w:hAnsi="Calibri"/>
          <w:b/>
          <w:color w:val="525866"/>
          <w:sz w:val="22"/>
        </w:rPr>
        <w:t>CEO Discretionary Stock Sale:</w:t>
      </w:r>
      <w:r>
        <w:rPr>
          <w:rFonts w:ascii="Calibri" w:hAnsi="Calibri"/>
          <w:color w:val="525866"/>
          <w:sz w:val="22"/>
        </w:rPr>
        <w:t xml:space="preserve"> The May 15 open-market sale by CEO Masters (not under a 10b5-1 plan) near the post-earnings peak is a modest negative signal, though the remaining holding of 87,519 shares is still substantial.</w:t>
      </w:r>
    </w:p>
    <w:p>
      <w:pPr>
        <w:pStyle w:val="Heading3"/>
      </w:pPr>
      <w:r>
        <w:rPr>
          <w:rFonts w:ascii="Calibri" w:hAnsi="Calibri"/>
          <w:b/>
          <w:color w:val="3B4259"/>
          <w:sz w:val="24"/>
        </w:rPr>
        <w:t>Upside Risks</w:t>
      </w:r>
    </w:p>
    <w:p>
      <w:pPr>
        <w:pStyle w:val="ListBullet"/>
        <w:ind w:left="360" w:hanging="360"/>
      </w:pPr>
      <w:r>
        <w:rPr>
          <w:rFonts w:ascii="Calibri" w:hAnsi="Calibri"/>
          <w:b/>
          <w:color w:val="525866"/>
          <w:sz w:val="22"/>
        </w:rPr>
        <w:t>Lithium Prices Above $20/kg Scenario:</w:t>
      </w:r>
      <w:r>
        <w:rPr>
          <w:rFonts w:ascii="Calibri" w:hAnsi="Calibri"/>
          <w:color w:val="525866"/>
          <w:sz w:val="22"/>
        </w:rPr>
        <w:t xml:space="preserve"> Chinese spot prices were tracking near $27/kg through much of Q2. If realized prices came in above the $20.9/kg consensus estimate, EBITDA could significantly exceed the $791M consensus. Management noted that if prices move from $20 to $30, everything scales linearly.</w:t>
      </w:r>
    </w:p>
    <w:p>
      <w:pPr>
        <w:pStyle w:val="ListBullet"/>
        <w:ind w:left="360" w:hanging="360"/>
      </w:pPr>
      <w:r>
        <w:rPr>
          <w:rFonts w:ascii="Calibri" w:hAnsi="Calibri"/>
          <w:b/>
          <w:color w:val="525866"/>
          <w:sz w:val="22"/>
        </w:rPr>
        <w:t>Energy Storage Volume Upside:</w:t>
      </w:r>
      <w:r>
        <w:rPr>
          <w:rFonts w:ascii="Calibri" w:hAnsi="Calibri"/>
          <w:color w:val="525866"/>
          <w:sz w:val="22"/>
        </w:rPr>
        <w:t xml:space="preserve"> Management noted that current volume limitations are due to product availability rather than market demand, and that the market is "pretty strong." Successful CGP3 ramp and Wodgina optimization could drive volumes above the 59.2 KT consensus estimate.</w:t>
      </w:r>
    </w:p>
    <w:p>
      <w:pPr>
        <w:pStyle w:val="ListBullet"/>
        <w:ind w:left="360" w:hanging="360"/>
      </w:pPr>
      <w:r>
        <w:rPr>
          <w:rFonts w:ascii="Calibri" w:hAnsi="Calibri"/>
          <w:b/>
          <w:color w:val="525866"/>
          <w:sz w:val="22"/>
        </w:rPr>
        <w:t>Specialties Outperformance:</w:t>
      </w:r>
      <w:r>
        <w:rPr>
          <w:rFonts w:ascii="Calibri" w:hAnsi="Calibri"/>
          <w:color w:val="525866"/>
          <w:sz w:val="22"/>
        </w:rPr>
        <w:t xml:space="preserve"> Bromine pricing in Chinese and Indian spot markets has been stronger than expected. If Q2 Specialties performance continues to track above the raised guidance, it provides an additional earnings cushion.</w:t>
      </w:r>
    </w:p>
    <w:p>
      <w:pPr>
        <w:pStyle w:val="ListBullet"/>
        <w:ind w:left="360" w:hanging="360"/>
      </w:pPr>
      <w:r>
        <w:rPr>
          <w:rFonts w:ascii="Calibri" w:hAnsi="Calibri"/>
          <w:b/>
          <w:color w:val="525866"/>
          <w:sz w:val="22"/>
        </w:rPr>
        <w:t>Balance Sheet Strength:</w:t>
      </w:r>
      <w:r>
        <w:rPr>
          <w:rFonts w:ascii="Calibri" w:hAnsi="Calibri"/>
          <w:color w:val="525866"/>
          <w:sz w:val="22"/>
        </w:rPr>
        <w:t xml:space="preserve"> With net leverage at ~1x and no major debt maturities until late 2028, ALB has significant financial flexibility. Lower interest expense (~$60M annual savings) provides a structural earnings tailwind not fully reflected in older consensus estimates.</w:t>
      </w:r>
    </w:p>
    <w:p>
      <w:pPr>
        <w:pStyle w:val="ListBullet"/>
        <w:ind w:left="360" w:hanging="360"/>
      </w:pPr>
      <w:r>
        <w:rPr>
          <w:rFonts w:ascii="Calibri" w:hAnsi="Calibri"/>
          <w:b/>
          <w:color w:val="525866"/>
          <w:sz w:val="22"/>
        </w:rPr>
        <w:t>Valuation Cushion:</w:t>
      </w:r>
      <w:r>
        <w:rPr>
          <w:rFonts w:ascii="Calibri" w:hAnsi="Calibri"/>
          <w:color w:val="525866"/>
          <w:sz w:val="22"/>
        </w:rPr>
        <w:t xml:space="preserve"> At ~5x NTM EV/EBITDA vs. a historical average of ~10x+, the stock is pricing in significant downside. A clean Q2 print with maintained guidance could trigger a meaningful re-rating.</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