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-earnings-predictions--2026-08-05"/>
    <w:p>
      <w:pPr>
        <w:pStyle w:val="Heading1"/>
      </w:pPr>
      <w:r>
        <w:t xml:space="preserve">ALL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17.8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auto combined ratio (ex-cat/ex-reserve)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~90.5 vs. cons ~90.0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policy-in-force (PIF) growth — Allstate Protection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~+2.7% vs. cons ~+2.4%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3.6</m:t>
              </m:r>
              <m:r>
                <m:t>B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c</m:t>
              </m:r>
              <m:r>
                <m:t>c</m:t>
              </m:r>
              <m:r>
                <m:t>e</m:t>
              </m:r>
              <m:r>
                <m:t>l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0.9B/qtr run-rate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Auto underlying margin / rate posture (margin-for-growth)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underlying auto CR drifting toward mid-90s ~94 vs. ~90 current (2H26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Likely clean EPS beat (~</w:t>
            </w:r>
            <m:oMath>
              <m:r>
                <m:t>5.35</m:t>
              </m:r>
              <m:r>
                <m:t>v</m:t>
              </m:r>
              <m:r>
                <m:t>s</m:t>
              </m:r>
              <m:r>
                <m:t> </m:t>
              </m:r>
            </m:oMath>
            <w:r>
              <w:t xml:space="preserve">4.92) driven mainly by lower pre-disclosed cats ($1.72B vs</w:t>
            </w:r>
            <w:r>
              <w:t xml:space="preserve"> </w:t>
            </w:r>
            <m:oMath>
              <m:r>
                <m:t>1.99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u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f</m:t>
              </m:r>
              <m:r>
                <m:t>a</m:t>
              </m:r>
              <m:r>
                <m:t>v</m:t>
              </m:r>
              <m:r>
                <m:t>o</m:t>
              </m:r>
              <m:r>
                <m:t>r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a</m:t>
              </m:r>
              <m:r>
                <m:t>u</m:t>
              </m:r>
              <m:r>
                <m:t>t</m:t>
              </m:r>
              <m:r>
                <m:t>o</m:t>
              </m:r>
              <m:r>
                <m:t>r</m:t>
              </m:r>
              <m:r>
                <m:t>e</m:t>
              </m:r>
              <m:r>
                <m:t>s</m:t>
              </m:r>
              <m:r>
                <m:t>e</m:t>
              </m:r>
              <m:r>
                <m:t>r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l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—</m:t>
              </m:r>
              <m:r>
                <m:t>l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−</m:t>
              </m:r>
              <m:r>
                <m:t>q</m:t>
              </m:r>
              <m:r>
                <m:t>u</m:t>
              </m:r>
              <m:r>
                <m:t>a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e</m:t>
              </m:r>
              <m:r>
                <m:t>c</m:t>
              </m:r>
              <m:r>
                <m:t>u</m:t>
              </m:r>
              <m:r>
                <m:t>r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u</m:t>
              </m:r>
              <m:r>
                <m:t>p</m:t>
              </m:r>
              <m:r>
                <m:t> </m:t>
              </m:r>
              <m:r>
                <m:t>29</m:t>
              </m:r>
            </m:oMath>
            <w:r>
              <w:t xml:space="preserve">255 avg sell-side target, the out-period math caps upside: management is deliberately cutting rate/giving up margin, so underlying auto CR normalizes toward mid-90s and forward EPS estimates get trimmed even after the headline beat. Expect an initial pop that partially fades as analysts mark down out-quarters and profit-taking resumes.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2026-08-05T01:24:57Z</dcterms:created>
  <dcterms:modified xsi:type="dcterms:W3CDTF">2026-08-05T01:24:57Z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