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Allstate (ALL) before writing the preview. Let me gather recent filings, transcripts, and news.Let me read the most recent 2026Q2 release and the Q1 materials.Let me get the Q1 2026 release financials, recent news, and stock price context.Let me read the CFO appointment and May monthly release for PIF data.Let me get Q2 2025 comparables and check current analyst expectations.I have what I need. Here's the earnings preview.</w:t>
      </w:r>
    </w:p>
    <w:p>
      <w:r>
        <w:pict>
          <v:rect style="width:0;height:1.5pt" o:hralign="center" o:hrstd="t" o:hr="t"/>
        </w:pict>
      </w:r>
    </w:p>
    <w:bookmarkStart w:id="16" w:name="allstate-all--q2-2026-earnings-preview"/>
    <w:p>
      <w:pPr>
        <w:pStyle w:val="Heading1"/>
      </w:pPr>
      <w:r>
        <w:t xml:space="preserve">Allstate (ALL) — Q2 2026 Earnings Preview</w:t>
      </w:r>
    </w:p>
    <w:bookmarkStart w:id="9" w:name="Xf7d324d09634136cc5d60ba33413bb51baf59dd"/>
    <w:p>
      <w:pPr>
        <w:pStyle w:val="Heading3"/>
      </w:pPr>
      <w:r>
        <w:t xml:space="preserve">Reports before the open Wed, Aug 5, 2026 · Conference call 9:00 a.m. ET</w:t>
      </w:r>
    </w:p>
    <w:bookmarkEnd w:id="9"/>
    <w:bookmarkStart w:id="10" w:name="the-setup-in-one-line"/>
    <w:p>
      <w:pPr>
        <w:pStyle w:val="Heading2"/>
      </w:pPr>
      <w:r>
        <w:t xml:space="preserve">The setup in one line</w:t>
      </w:r>
    </w:p>
    <w:p>
      <w:pPr>
        <w:pStyle w:val="FirstParagraph"/>
      </w:pPr>
      <w:r>
        <w:t xml:space="preserve">Allstate heads into Q2 print riding one of its best stretches in years — the stock closed at **</w:t>
      </w:r>
      <m:oMath>
        <m:r>
          <m:t>262.60</m:t>
        </m:r>
        <m:r>
          <m:t>o</m:t>
        </m:r>
        <m:r>
          <m:t>n</m:t>
        </m:r>
        <m:r>
          <m:t>A</m:t>
        </m:r>
        <m:r>
          <m:t>u</m:t>
        </m:r>
        <m:r>
          <m:t>g</m:t>
        </m:r>
        <m:r>
          <m:t>4</m:t>
        </m:r>
        <m:r>
          <m:rPr>
            <m:sty m:val="p"/>
          </m:rPr>
          <m:t>,</m:t>
        </m:r>
        <m:r>
          <m:t>u</m:t>
        </m:r>
        <m:r>
          <m:t>p</m:t>
        </m:r>
        <m:r>
          <m:t> </m:t>
        </m:r>
        <m:r>
          <m:t>29</m:t>
        </m:r>
      </m:oMath>
      <w:r>
        <w:t xml:space="preserve">204 in early January) and sitting near record highs — but the bar is now high, the Q2 headline number will be a</w:t>
      </w:r>
      <w:r>
        <w:t xml:space="preserve"> </w:t>
      </w:r>
      <w:r>
        <w:rPr>
          <w:i/>
          <w:iCs/>
        </w:rPr>
        <w:t xml:space="preserve">down-year-over-year</w:t>
      </w:r>
      <w:r>
        <w:t xml:space="preserve"> </w:t>
      </w:r>
      <w:r>
        <w:t xml:space="preserve">comp, and much of the "controllable" news (catastrophes, policy counts) is already on the tape.</w:t>
      </w:r>
    </w:p>
    <w:p>
      <w:pPr>
        <w:pStyle w:val="BodyText"/>
      </w:pPr>
      <w:r>
        <w:t xml:space="preserve">The debate is no longer "can Allstate earn its cost of capital" — it earned a</w:t>
      </w:r>
      <w:r>
        <w:t xml:space="preserve"> </w:t>
      </w:r>
      <w:r>
        <w:rPr>
          <w:b/>
          <w:bCs/>
        </w:rPr>
        <w:t xml:space="preserve">48% trailing net income ROE (44% on an adjusted basis)</w:t>
      </w:r>
      <w:r>
        <w:t xml:space="preserve"> </w:t>
      </w:r>
      <w:r>
        <w:t xml:space="preserve">exiting Q1. The debate is now about</w:t>
      </w:r>
      <w:r>
        <w:t xml:space="preserve"> </w:t>
      </w:r>
      <w:r>
        <w:rPr>
          <w:b/>
          <w:bCs/>
        </w:rPr>
        <w:t xml:space="preserve">margin normalization vs. growth re-acceleration</w:t>
      </w:r>
      <w:r>
        <w:t xml:space="preserve">, and whether a stock that has quietly outrun Progressive (roughly flat YTD) deserves to keep re-rating.</w:t>
      </w:r>
    </w:p>
    <w:bookmarkEnd w:id="10"/>
    <w:bookmarkStart w:id="11" w:name="what-the-street-is-looking-for"/>
    <w:p>
      <w:pPr>
        <w:pStyle w:val="Heading2"/>
      </w:pPr>
      <w:r>
        <w:t xml:space="preserve">What the Street is looking for</w:t>
      </w:r>
    </w:p>
    <w:p>
      <w:pPr>
        <w:pStyle w:val="Compact"/>
        <w:numPr>
          <w:ilvl w:val="0"/>
          <w:numId w:val="1001"/>
        </w:numPr>
      </w:pPr>
      <w:r>
        <w:rPr>
          <w:b/>
          <w:bCs/>
        </w:rPr>
        <w:t xml:space="preserve">Adjusted EPS: ~</w:t>
      </w:r>
      <m:oMath>
        <m:r>
          <m:t>4.90</m:t>
        </m:r>
        <m:r>
          <m:rPr>
            <m:sty m:val="p"/>
          </m:rPr>
          <m:t>–</m:t>
        </m:r>
      </m:oMath>
      <w:r>
        <w:rPr>
          <w:b/>
          <w:bCs/>
        </w:rPr>
        <w:t xml:space="preserve">5.00</w:t>
      </w:r>
      <w:r>
        <w:t xml:space="preserve"> </w:t>
      </w:r>
      <w:r>
        <w:t xml:space="preserve">consensus (Zacks ~$4.92), which would be **down ~17% from</w:t>
      </w:r>
      <w:r>
        <w:t xml:space="preserve"> </w:t>
      </w:r>
      <m:oMath>
        <m:r>
          <m:t>5.94</m:t>
        </m:r>
        <m:r>
          <m:t>i</m:t>
        </m:r>
        <m:r>
          <m:t>n</m:t>
        </m:r>
        <m:r>
          <m:t>Q</m:t>
        </m:r>
        <m:r>
          <m:t>2</m:t>
        </m:r>
        <m:r>
          <m:t>2025</m:t>
        </m:r>
        <m:r>
          <m:rPr>
            <m:sty m:val="p"/>
          </m:rPr>
          <m:t>*</m:t>
        </m:r>
        <m:r>
          <m:rPr>
            <m:sty m:val="p"/>
          </m:rPr>
          <m:t>*</m:t>
        </m:r>
        <m:r>
          <m:rPr>
            <m:sty m:val="p"/>
          </m:rPr>
          <m:t>.</m:t>
        </m:r>
        <m:r>
          <m:rPr>
            <m:sty m:val="p"/>
          </m:rPr>
          <m:t>(</m:t>
        </m:r>
        <m:r>
          <m:t>N</m:t>
        </m:r>
        <m:r>
          <m:t>o</m:t>
        </m:r>
        <m:r>
          <m:t>t</m:t>
        </m:r>
        <m:r>
          <m:t>e</m:t>
        </m:r>
        <m:r>
          <m:rPr>
            <m:sty m:val="p"/>
          </m:rPr>
          <m:t>:</m:t>
        </m:r>
        <m:r>
          <m:t>s</m:t>
        </m:r>
        <m:r>
          <m:t>o</m:t>
        </m:r>
        <m:r>
          <m:t>m</m:t>
        </m:r>
        <m:r>
          <m:t>e</m:t>
        </m:r>
        <m:r>
          <m:t>d</m:t>
        </m:r>
        <m:r>
          <m:t>a</m:t>
        </m:r>
        <m:r>
          <m:t>t</m:t>
        </m:r>
        <m:r>
          <m:t>a</m:t>
        </m:r>
        <m:r>
          <m:t>p</m:t>
        </m:r>
        <m:r>
          <m:t>r</m:t>
        </m:r>
        <m:r>
          <m:t>o</m:t>
        </m:r>
        <m:r>
          <m:t>v</m:t>
        </m:r>
        <m:r>
          <m:t>i</m:t>
        </m:r>
        <m:r>
          <m:t>d</m:t>
        </m:r>
        <m:r>
          <m:t>e</m:t>
        </m:r>
        <m:r>
          <m:t>r</m:t>
        </m:r>
        <m:r>
          <m:t>s</m:t>
        </m:r>
        <m:r>
          <m:t>l</m:t>
        </m:r>
        <m:r>
          <m:t>i</m:t>
        </m:r>
        <m:r>
          <m:t>s</m:t>
        </m:r>
        <m:r>
          <m:t>t</m:t>
        </m:r>
        <m:r>
          <m:t>a</m:t>
        </m:r>
        <m:r>
          <m:t>h</m:t>
        </m:r>
        <m:r>
          <m:t>i</m:t>
        </m:r>
        <m:r>
          <m:t>g</m:t>
        </m:r>
        <m:r>
          <m:t>h</m:t>
        </m:r>
        <m:r>
          <m:t>e</m:t>
        </m:r>
        <m:r>
          <m:t>r</m:t>
        </m:r>
        <m:r>
          <m:t> </m:t>
        </m:r>
      </m:oMath>
      <w:r>
        <w:t xml:space="preserve">5.76 figure; estimate dispersion is wide.)</w:t>
      </w:r>
    </w:p>
    <w:p>
      <w:pPr>
        <w:pStyle w:val="Compact"/>
        <w:numPr>
          <w:ilvl w:val="0"/>
          <w:numId w:val="1001"/>
        </w:numPr>
      </w:pPr>
      <w:r>
        <w:rPr>
          <w:b/>
          <w:bCs/>
        </w:rPr>
        <w:t xml:space="preserve">Revenue: ~$17.7B, up ~5–6% YoY</w:t>
      </w:r>
      <w:r>
        <w:t xml:space="preserve">.</w:t>
      </w:r>
    </w:p>
    <w:p>
      <w:pPr>
        <w:pStyle w:val="Compact"/>
        <w:numPr>
          <w:ilvl w:val="0"/>
          <w:numId w:val="1001"/>
        </w:numPr>
      </w:pPr>
      <w:r>
        <w:t xml:space="preserve">Average analyst price target ~</w:t>
      </w:r>
      <m:oMath>
        <m:r>
          <m:t>255</m:t>
        </m:r>
        <m:r>
          <m:rPr>
            <m:sty m:val="p"/>
          </m:rPr>
          <m:t>—</m:t>
        </m:r>
        <m:r>
          <m:rPr>
            <m:sty m:val="p"/>
          </m:rPr>
          <m:t>*</m:t>
        </m:r>
        <m:r>
          <m:t>b</m:t>
        </m:r>
        <m:r>
          <m:t>e</m:t>
        </m:r>
        <m:r>
          <m:t>l</m:t>
        </m:r>
        <m:r>
          <m:t>o</m:t>
        </m:r>
        <m:r>
          <m:t>w</m:t>
        </m:r>
        <m:r>
          <m:rPr>
            <m:sty m:val="p"/>
          </m:rPr>
          <m:t>*</m:t>
        </m:r>
        <m:r>
          <m:t>t</m:t>
        </m:r>
        <m:r>
          <m:t>h</m:t>
        </m:r>
        <m:r>
          <m:t>e</m:t>
        </m:r>
        <m:r>
          <m:t>c</m:t>
        </m:r>
        <m:r>
          <m:t>u</m:t>
        </m:r>
        <m:r>
          <m:t>r</m:t>
        </m:r>
        <m:r>
          <m:t>r</m:t>
        </m:r>
        <m:r>
          <m:t>e</m:t>
        </m:r>
        <m:r>
          <m:t>n</m:t>
        </m:r>
        <m:r>
          <m:t>t</m:t>
        </m:r>
        <m:r>
          <m:t> </m:t>
        </m:r>
      </m:oMath>
      <w:r>
        <w:t xml:space="preserve">263 price, i.e., the stock is already trading through the sell-side's collective target.</w:t>
      </w:r>
    </w:p>
    <w:p>
      <w:pPr>
        <w:pStyle w:val="Compact"/>
        <w:numPr>
          <w:ilvl w:val="0"/>
          <w:numId w:val="1001"/>
        </w:numPr>
      </w:pPr>
      <w:r>
        <w:t xml:space="preserve">Zacks Rank #2 (Buy) with estimates recently revised higher — sentiment is constructive going in.</w:t>
      </w:r>
    </w:p>
    <w:p>
      <w:pPr>
        <w:pStyle w:val="FirstParagraph"/>
      </w:pPr>
      <w:r>
        <w:rPr>
          <w:b/>
          <w:bCs/>
        </w:rPr>
        <w:t xml:space="preserve">Why EPS is down YoY despite a strong franchise:</w:t>
      </w:r>
      <w:r>
        <w:t xml:space="preserve"> </w:t>
      </w:r>
      <w:r>
        <w:t xml:space="preserve">the comp is tough, not the business. Q2 2025 carried unusually favorable auto reserve releases (~$415M / 4.3 pts on the auto CR) and a peak-margin auto book (87.8 underlying CR). This year, management is deliberately trading some margin for growth (rate cuts, more advertising, lower new-business margins), so the year-over-year underwriting comparison compresses even as volumes rise.</w:t>
      </w:r>
    </w:p>
    <w:bookmarkEnd w:id="11"/>
    <w:bookmarkStart w:id="12" w:name="already-known--reduces-surprise-risk"/>
    <w:p>
      <w:pPr>
        <w:pStyle w:val="Heading2"/>
      </w:pPr>
      <w:r>
        <w:t xml:space="preserve">Already known — reduces surprise risk</w:t>
      </w:r>
    </w:p>
    <w:p>
      <w:pPr>
        <w:pStyle w:val="FirstParagraph"/>
      </w:pPr>
      <w:r>
        <w:t xml:space="preserve">This is important: Allstate pre-releases monthly, so two of the biggest swing factors are effectively public.</w:t>
      </w:r>
    </w:p>
    <w:p>
      <w:pPr>
        <w:pStyle w:val="Compact"/>
        <w:numPr>
          <w:ilvl w:val="0"/>
          <w:numId w:val="1002"/>
        </w:numPr>
      </w:pPr>
      <w:r>
        <w:rPr>
          <w:b/>
          <w:bCs/>
        </w:rPr>
        <w:t xml:space="preserve">Q2 catastrophe losses:</w:t>
      </w:r>
      <w:r>
        <w:rPr>
          <w:b/>
          <w:bCs/>
        </w:rPr>
        <w:t xml:space="preserve"> </w:t>
      </w:r>
      <m:oMath>
        <m:r>
          <m:t>1.72</m:t>
        </m:r>
        <m:r>
          <m:t>B</m:t>
        </m:r>
        <m:r>
          <m:t>p</m:t>
        </m:r>
        <m:r>
          <m:t>r</m:t>
        </m:r>
        <m:r>
          <m:t>e</m:t>
        </m:r>
        <m:r>
          <m:rPr>
            <m:sty m:val="p"/>
          </m:rPr>
          <m:t>−</m:t>
        </m:r>
        <m:r>
          <m:t>t</m:t>
        </m:r>
        <m:r>
          <m:t>a</m:t>
        </m:r>
        <m:r>
          <m:t>x</m:t>
        </m:r>
        <m:r>
          <m:rPr>
            <m:sty m:val="p"/>
          </m:rPr>
          <m:t>(</m:t>
        </m:r>
      </m:oMath>
      <w:r>
        <w:rPr>
          <w:b/>
          <w:bCs/>
        </w:rPr>
        <w:t xml:space="preserve">1.36B after-tax)</w:t>
      </w:r>
      <w:r>
        <w:t xml:space="preserve"> </w:t>
      </w:r>
      <w:r>
        <w:t xml:space="preserve">— including</w:t>
      </w:r>
      <w:r>
        <w:t xml:space="preserve"> </w:t>
      </w:r>
      <m:oMath>
        <m:r>
          <m:t>563</m:t>
        </m:r>
        <m:r>
          <m:t>M</m:t>
        </m:r>
        <m:r>
          <m:t>i</m:t>
        </m:r>
        <m:r>
          <m:t>n</m:t>
        </m:r>
        <m:r>
          <m:t>J</m:t>
        </m:r>
        <m:r>
          <m:t>u</m:t>
        </m:r>
        <m:r>
          <m:t>n</m:t>
        </m:r>
        <m:r>
          <m:t>e</m:t>
        </m:r>
        <m:r>
          <m:rPr>
            <m:sty m:val="p"/>
          </m:rPr>
          <m:t>.</m:t>
        </m:r>
        <m:r>
          <m:t>C</m:t>
        </m:r>
        <m:r>
          <m:t>r</m:t>
        </m:r>
        <m:r>
          <m:t>i</m:t>
        </m:r>
        <m:r>
          <m:t>t</m:t>
        </m:r>
        <m:r>
          <m:t>i</m:t>
        </m:r>
        <m:r>
          <m:t>c</m:t>
        </m:r>
        <m:r>
          <m:t>a</m:t>
        </m:r>
        <m:r>
          <m:t>l</m:t>
        </m:r>
        <m:r>
          <m:t>l</m:t>
        </m:r>
        <m:r>
          <m:t>y</m:t>
        </m:r>
        <m:r>
          <m:rPr>
            <m:sty m:val="p"/>
          </m:rPr>
          <m:t>,</m:t>
        </m:r>
        <m:r>
          <m:t>t</m:t>
        </m:r>
        <m:r>
          <m:t>h</m:t>
        </m:r>
        <m:r>
          <m:t>a</m:t>
        </m:r>
        <m:r>
          <m:t>t</m:t>
        </m:r>
        <m:r>
          <m:t>i</m:t>
        </m:r>
        <m:r>
          <m:t>s</m:t>
        </m:r>
        <m:r>
          <m:rPr>
            <m:sty m:val="p"/>
          </m:rPr>
          <m:t>*</m:t>
        </m:r>
        <m:r>
          <m:rPr>
            <m:sty m:val="p"/>
          </m:rPr>
          <m:t>*</m:t>
        </m:r>
        <m:r>
          <m:t>l</m:t>
        </m:r>
        <m:r>
          <m:t>o</m:t>
        </m:r>
        <m:r>
          <m:t>w</m:t>
        </m:r>
        <m:r>
          <m:t>e</m:t>
        </m:r>
        <m:r>
          <m:t>r</m:t>
        </m:r>
        <m:r>
          <m:t>t</m:t>
        </m:r>
        <m:r>
          <m:t>h</m:t>
        </m:r>
        <m:r>
          <m:t>a</m:t>
        </m:r>
        <m:r>
          <m:t>n</m:t>
        </m:r>
        <m:r>
          <m:t>t</m:t>
        </m:r>
        <m:r>
          <m:t>h</m:t>
        </m:r>
        <m:r>
          <m:t>e</m:t>
        </m:r>
        <m:r>
          <m:t> </m:t>
        </m:r>
      </m:oMath>
      <w:r>
        <w:t xml:space="preserve">1.99B of P&amp;L cats in Q2 2025**, so cats are a modest</w:t>
      </w:r>
      <w:r>
        <w:t xml:space="preserve"> </w:t>
      </w:r>
      <w:r>
        <w:rPr>
          <w:i/>
          <w:iCs/>
        </w:rPr>
        <w:t xml:space="preserve">tailwind</w:t>
      </w:r>
      <w:r>
        <w:t xml:space="preserve"> </w:t>
      </w:r>
      <w:r>
        <w:t xml:space="preserve">year-over-year despite Q2 being a seasonally heavy storm quarter. This removes a major tail risk from the print.</w:t>
      </w:r>
    </w:p>
    <w:p>
      <w:pPr>
        <w:pStyle w:val="Compact"/>
        <w:numPr>
          <w:ilvl w:val="0"/>
          <w:numId w:val="1002"/>
        </w:numPr>
      </w:pPr>
      <w:r>
        <w:rPr>
          <w:b/>
          <w:bCs/>
        </w:rPr>
        <w:t xml:space="preserve">Policy-in-force trajectory (through May 31):</w:t>
      </w:r>
      <w:r>
        <w:t xml:space="preserve"> </w:t>
      </w:r>
      <w:r>
        <w:t xml:space="preserve">Allstate Protection PIF of</w:t>
      </w:r>
      <w:r>
        <w:t xml:space="preserve"> </w:t>
      </w:r>
      <w:r>
        <w:rPr>
          <w:b/>
          <w:bCs/>
        </w:rPr>
        <w:t xml:space="preserve">38.8M, +2.4% YoY</w:t>
      </w:r>
      <w:r>
        <w:t xml:space="preserve">, with</w:t>
      </w:r>
      <w:r>
        <w:t xml:space="preserve"> </w:t>
      </w:r>
      <w:r>
        <w:rPr>
          <w:b/>
          <w:bCs/>
        </w:rPr>
        <w:t xml:space="preserve">auto +2.7%</w:t>
      </w:r>
      <w:r>
        <w:t xml:space="preserve"> </w:t>
      </w:r>
      <w:r>
        <w:t xml:space="preserve">and</w:t>
      </w:r>
      <w:r>
        <w:t xml:space="preserve"> </w:t>
      </w:r>
      <w:r>
        <w:rPr>
          <w:b/>
          <w:bCs/>
        </w:rPr>
        <w:t xml:space="preserve">homeowners +2.6%</w:t>
      </w:r>
      <w:r>
        <w:t xml:space="preserve">. Total company PIF was 212M exiting Q1. Growth is real but still measured — watch whether the full-quarter figures confirm re-acceleration, especially in auto.</w:t>
      </w:r>
    </w:p>
    <w:p>
      <w:pPr>
        <w:pStyle w:val="FirstParagraph"/>
      </w:pPr>
      <w:r>
        <w:t xml:space="preserve">Because these are pre-disclosed, the market reaction will hinge on the</w:t>
      </w:r>
      <w:r>
        <w:t xml:space="preserve"> </w:t>
      </w:r>
      <w:r>
        <w:rPr>
          <w:i/>
          <w:iCs/>
        </w:rPr>
        <w:t xml:space="preserve">quality</w:t>
      </w:r>
      <w:r>
        <w:t xml:space="preserve"> </w:t>
      </w:r>
      <w:r>
        <w:t xml:space="preserve">items below rather than the cat number.</w:t>
      </w:r>
    </w:p>
    <w:bookmarkEnd w:id="12"/>
    <w:bookmarkStart w:id="13" w:name="X3c1e54838274b69fa842023c386d7239fdc9217"/>
    <w:p>
      <w:pPr>
        <w:pStyle w:val="Heading2"/>
      </w:pPr>
      <w:r>
        <w:t xml:space="preserve">The five things that actually matter on the call</w:t>
      </w:r>
    </w:p>
    <w:p>
      <w:pPr>
        <w:pStyle w:val="FirstParagraph"/>
      </w:pPr>
      <w:r>
        <w:rPr>
          <w:b/>
          <w:bCs/>
        </w:rPr>
        <w:t xml:space="preserve">1) Auto margins &amp; the reserve-release question.</w:t>
      </w:r>
      <w:r>
        <w:t xml:space="preserve"> </w:t>
      </w:r>
      <w:r>
        <w:t xml:space="preserve">Q1 was flattered by an</w:t>
      </w:r>
      <w:r>
        <w:t xml:space="preserve"> </w:t>
      </w:r>
      <w:r>
        <w:rPr>
          <w:b/>
          <w:bCs/>
        </w:rPr>
        <w:t xml:space="preserve">$838M favorable prior-year auto reserve release</w:t>
      </w:r>
      <w:r>
        <w:t xml:space="preserve"> </w:t>
      </w:r>
      <w:r>
        <w:t xml:space="preserve">(8.8 pts of benefit), as 2023–2025 accident years developed better than expected. The underlying auto CR was still a healthy</w:t>
      </w:r>
      <w:r>
        <w:t xml:space="preserve"> </w:t>
      </w:r>
      <w:r>
        <w:rPr>
          <w:b/>
          <w:bCs/>
        </w:rPr>
        <w:t xml:space="preserve">89.5% in Q1</w:t>
      </w:r>
      <w:r>
        <w:t xml:space="preserve"> </w:t>
      </w:r>
      <w:r>
        <w:t xml:space="preserve">(vs. mid-90s target). Investors will parse: (a) how much of Q2's result again leans on reserve releases vs. current-year margin, and (b) whether the underlying auto CR is drifting up toward the mid-90s target as management cuts rates to grow. Management has been explicit it is willing to "give up some margin" to gain share and lift its valuation multiple.</w:t>
      </w:r>
    </w:p>
    <w:p>
      <w:pPr>
        <w:pStyle w:val="BodyText"/>
      </w:pPr>
      <w:r>
        <w:rPr>
          <w:b/>
          <w:bCs/>
        </w:rPr>
        <w:t xml:space="preserve">2) Pricing posture.</w:t>
      </w:r>
      <w:r>
        <w:t xml:space="preserve"> </w:t>
      </w:r>
      <w:r>
        <w:t xml:space="preserve">In Q1, net implemented auto rate was roughly</w:t>
      </w:r>
      <w:r>
        <w:t xml:space="preserve"> </w:t>
      </w:r>
      <w:r>
        <w:rPr>
          <w:b/>
          <w:bCs/>
        </w:rPr>
        <w:t xml:space="preserve">neutral</w:t>
      </w:r>
      <w:r>
        <w:t xml:space="preserve"> </w:t>
      </w:r>
      <w:r>
        <w:t xml:space="preserve">(rate cuts in 23 states, increases in 16). The key forward question is how aggressively Allstate leans into price cuts in profitable states in 2H26 — and whether loss-cost trends (severity, litigation, tariff/parts inflation) stay benign enough to allow it.</w:t>
      </w:r>
    </w:p>
    <w:p>
      <w:pPr>
        <w:pStyle w:val="BodyText"/>
      </w:pPr>
      <w:r>
        <w:rPr>
          <w:b/>
          <w:bCs/>
        </w:rPr>
        <w:t xml:space="preserve">3) Homeowners — the underappreciated grower.</w:t>
      </w:r>
      <w:r>
        <w:t xml:space="preserve"> </w:t>
      </w:r>
      <w:r>
        <w:t xml:space="preserve">Q1 homeowners underlying CR was a stellar</w:t>
      </w:r>
      <w:r>
        <w:t xml:space="preserve"> </w:t>
      </w:r>
      <w:r>
        <w:rPr>
          <w:b/>
          <w:bCs/>
        </w:rPr>
        <w:t xml:space="preserve">60.5%</w:t>
      </w:r>
      <w:r>
        <w:t xml:space="preserve"> </w:t>
      </w:r>
      <w:r>
        <w:t xml:space="preserve">with PIF +2.5% and average premium +5.7%. Management frames home as a structural share-gain opportunity (competing at ~81–83% of the market where several top-5 rivals are pulling back). Watch the underwriting margin ex-cats and any commentary on the new</w:t>
      </w:r>
      <w:r>
        <w:t xml:space="preserve"> </w:t>
      </w:r>
      <w:r>
        <w:rPr>
          <w:b/>
          <w:bCs/>
        </w:rPr>
        <w:t xml:space="preserve">nationwide reinsurance program</w:t>
      </w:r>
      <w:r>
        <w:t xml:space="preserve"> </w:t>
      </w:r>
      <w:r>
        <w:t xml:space="preserve">dampening tail risk.</w:t>
      </w:r>
    </w:p>
    <w:p>
      <w:pPr>
        <w:pStyle w:val="BodyText"/>
      </w:pPr>
      <w:r>
        <w:rPr>
          <w:b/>
          <w:bCs/>
        </w:rPr>
        <w:t xml:space="preserve">4) Capital return.</w:t>
      </w:r>
      <w:r>
        <w:t xml:space="preserve"> </w:t>
      </w:r>
      <w:r>
        <w:t xml:space="preserve">Allstate launched a **</w:t>
      </w:r>
      <m:oMath>
        <m:r>
          <m:t>4</m:t>
        </m:r>
        <m:r>
          <m:t>B</m:t>
        </m:r>
        <m:r>
          <m:t>b</m:t>
        </m:r>
        <m:r>
          <m:t>u</m:t>
        </m:r>
        <m:r>
          <m:t>y</m:t>
        </m:r>
        <m:r>
          <m:t>b</m:t>
        </m:r>
        <m:r>
          <m:t>a</m:t>
        </m:r>
        <m:r>
          <m:t>c</m:t>
        </m:r>
        <m:r>
          <m:t>k</m:t>
        </m:r>
        <m:r>
          <m:rPr>
            <m:sty m:val="p"/>
          </m:rPr>
          <m:t>*</m:t>
        </m:r>
        <m:r>
          <m:rPr>
            <m:sty m:val="p"/>
          </m:rPr>
          <m:t>*</m:t>
        </m:r>
        <m:r>
          <m:t>i</m:t>
        </m:r>
        <m:r>
          <m:t>n</m:t>
        </m:r>
        <m:r>
          <m:t>Q</m:t>
        </m:r>
        <m:r>
          <m:t>1</m:t>
        </m:r>
        <m:r>
          <m:rPr>
            <m:sty m:val="p"/>
          </m:rPr>
          <m:t>(</m:t>
        </m:r>
        <m:r>
          <m:t>w</m:t>
        </m:r>
        <m:r>
          <m:t>i</m:t>
        </m:r>
        <m:r>
          <m:t>t</m:t>
        </m:r>
        <m:r>
          <m:t>h</m:t>
        </m:r>
        <m:r>
          <m:t> </m:t>
        </m:r>
      </m:oMath>
      <w:r>
        <w:t xml:space="preserve">3.6B remaining, ~7% of shares) and returned</w:t>
      </w:r>
      <w:r>
        <w:t xml:space="preserve"> </w:t>
      </w:r>
      <m:oMath>
        <m:r>
          <m:t>881</m:t>
        </m:r>
        <m:r>
          <m:t>M</m:t>
        </m:r>
        <m:r>
          <m:rPr>
            <m:sty m:val="p"/>
          </m:rPr>
          <m:t>*</m:t>
        </m:r>
        <m:r>
          <m:rPr>
            <m:sty m:val="p"/>
          </m:rPr>
          <m:t>*</m:t>
        </m:r>
        <m:r>
          <m:t>t</m:t>
        </m:r>
        <m:r>
          <m:t>o</m:t>
        </m:r>
        <m:r>
          <m:t>h</m:t>
        </m:r>
        <m:r>
          <m:t>o</m:t>
        </m:r>
        <m:r>
          <m:t>l</m:t>
        </m:r>
        <m:r>
          <m:t>d</m:t>
        </m:r>
        <m:r>
          <m:t>e</m:t>
        </m:r>
        <m:r>
          <m:t>r</m:t>
        </m:r>
        <m:r>
          <m:t>s</m:t>
        </m:r>
        <m:r>
          <m:t>i</m:t>
        </m:r>
        <m:r>
          <m:t>n</m:t>
        </m:r>
        <m:r>
          <m:t>Q</m:t>
        </m:r>
        <m:r>
          <m:t>1</m:t>
        </m:r>
        <m:r>
          <m:rPr>
            <m:sty m:val="p"/>
          </m:rPr>
          <m:t>,</m:t>
        </m:r>
        <m:r>
          <m:t>w</m:t>
        </m:r>
        <m:r>
          <m:t>i</m:t>
        </m:r>
        <m:r>
          <m:t>t</m:t>
        </m:r>
        <m:r>
          <m:t>h</m:t>
        </m:r>
        <m:r>
          <m:t>t</m:t>
        </m:r>
        <m:r>
          <m:t>h</m:t>
        </m:r>
        <m:r>
          <m:t>e</m:t>
        </m:r>
        <m:r>
          <m:t>p</m:t>
        </m:r>
        <m:r>
          <m:t>a</m:t>
        </m:r>
        <m:r>
          <m:t>c</m:t>
        </m:r>
        <m:r>
          <m:t>e</m:t>
        </m:r>
        <m:r>
          <m:t>o</m:t>
        </m:r>
        <m:r>
          <m:t>f</m:t>
        </m:r>
        <m:r>
          <m:t>r</m:t>
        </m:r>
        <m:r>
          <m:t>e</m:t>
        </m:r>
        <m:r>
          <m:t>p</m:t>
        </m:r>
        <m:r>
          <m:t>u</m:t>
        </m:r>
        <m:r>
          <m:t>r</m:t>
        </m:r>
        <m:r>
          <m:t>c</m:t>
        </m:r>
        <m:r>
          <m:t>h</m:t>
        </m:r>
        <m:r>
          <m:t>a</m:t>
        </m:r>
        <m:r>
          <m:t>s</m:t>
        </m:r>
        <m:r>
          <m:t>e</m:t>
        </m:r>
        <m:r>
          <m:t>e</m:t>
        </m:r>
        <m:r>
          <m:t>x</m:t>
        </m:r>
        <m:r>
          <m:t>p</m:t>
        </m:r>
        <m:r>
          <m:t>l</m:t>
        </m:r>
        <m:r>
          <m:t>i</m:t>
        </m:r>
        <m:r>
          <m:t>c</m:t>
        </m:r>
        <m:r>
          <m:t>i</m:t>
        </m:r>
        <m:r>
          <m:t>t</m:t>
        </m:r>
        <m:r>
          <m:t>l</m:t>
        </m:r>
        <m:r>
          <m:t>y</m:t>
        </m:r>
        <m:r>
          <m:rPr>
            <m:sty m:val="p"/>
          </m:rPr>
          <m:t>*</m:t>
        </m:r>
        <m:r>
          <m:t>a</m:t>
        </m:r>
        <m:r>
          <m:t>c</m:t>
        </m:r>
        <m:r>
          <m:t>c</m:t>
        </m:r>
        <m:r>
          <m:t>e</m:t>
        </m:r>
        <m:r>
          <m:t>l</m:t>
        </m:r>
        <m:r>
          <m:t>e</m:t>
        </m:r>
        <m:r>
          <m:t>r</m:t>
        </m:r>
        <m:r>
          <m:t>a</m:t>
        </m:r>
        <m:r>
          <m:t>t</m:t>
        </m:r>
        <m:r>
          <m:t>i</m:t>
        </m:r>
        <m:r>
          <m:t>n</m:t>
        </m:r>
        <m:r>
          <m:t>g</m:t>
        </m:r>
        <m:r>
          <m:rPr>
            <m:sty m:val="p"/>
          </m:rPr>
          <m:t>*</m:t>
        </m:r>
        <m:r>
          <m:rPr>
            <m:sty m:val="p"/>
          </m:rPr>
          <m:t>.</m:t>
        </m:r>
        <m:r>
          <m:t>W</m:t>
        </m:r>
        <m:r>
          <m:t>i</m:t>
        </m:r>
        <m:r>
          <m:t>t</m:t>
        </m:r>
        <m:r>
          <m:t>h</m:t>
        </m:r>
        <m:r>
          <m:t>h</m:t>
        </m:r>
        <m:r>
          <m:t>o</m:t>
        </m:r>
        <m:r>
          <m:t>l</m:t>
        </m:r>
        <m:r>
          <m:t>d</m:t>
        </m:r>
        <m:r>
          <m:t>c</m:t>
        </m:r>
        <m:r>
          <m:t>o</m:t>
        </m:r>
        <m:r>
          <m:t>c</m:t>
        </m:r>
        <m:r>
          <m:t>a</m:t>
        </m:r>
        <m:r>
          <m:t>p</m:t>
        </m:r>
        <m:r>
          <m:t>i</m:t>
        </m:r>
        <m:r>
          <m:t>t</m:t>
        </m:r>
        <m:r>
          <m:t>a</m:t>
        </m:r>
        <m:r>
          <m:t>l</m:t>
        </m:r>
        <m:r>
          <m:t>e</m:t>
        </m:r>
        <m:r>
          <m:t>l</m:t>
        </m:r>
        <m:r>
          <m:t>e</m:t>
        </m:r>
        <m:r>
          <m:t>v</m:t>
        </m:r>
        <m:r>
          <m:t>a</m:t>
        </m:r>
        <m:r>
          <m:t>t</m:t>
        </m:r>
        <m:r>
          <m:t>e</m:t>
        </m:r>
        <m:r>
          <m:t>d</m:t>
        </m:r>
        <m:r>
          <m:t>a</m:t>
        </m:r>
        <m:r>
          <m:t>n</m:t>
        </m:r>
        <m:r>
          <m:t>d</m:t>
        </m:r>
        <m:r>
          <m:t>R</m:t>
        </m:r>
        <m:r>
          <m:t>O</m:t>
        </m:r>
        <m:r>
          <m:t>E</m:t>
        </m:r>
        <m:r>
          <m:t> </m:t>
        </m:r>
        <m:r>
          <m:t>44</m:t>
        </m:r>
      </m:oMath>
      <w:r>
        <w:rPr>
          <w:b/>
          <w:bCs/>
        </w:rPr>
        <w:t xml:space="preserve">113.52/share</w:t>
      </w:r>
      <w:r>
        <w:t xml:space="preserve"> </w:t>
      </w:r>
      <w:r>
        <w:t xml:space="preserve">(from $74.61 a year ago).</w:t>
      </w:r>
    </w:p>
    <w:p>
      <w:pPr>
        <w:pStyle w:val="BodyText"/>
      </w:pPr>
      <w:r>
        <w:rPr>
          <w:b/>
          <w:bCs/>
        </w:rPr>
        <w:t xml:space="preserve">5) CFO transition.</w:t>
      </w:r>
      <w:r>
        <w:t xml:space="preserve"> </w:t>
      </w:r>
      <w:r>
        <w:rPr>
          <w:b/>
          <w:bCs/>
        </w:rPr>
        <w:t xml:space="preserve">Christian (Chris) Lown</w:t>
      </w:r>
      <w:r>
        <w:t xml:space="preserve"> </w:t>
      </w:r>
      <w:r>
        <w:t xml:space="preserve">(ex-CoStar, Freddie Mac, Navient) became CFO effective Aug 3, succeeding Jess Merten (now President of P&amp;L); John Dugenske had been interim. This will be Lown's first call — expect scrutiny of tone on capital allocation and any framing of financial priorities, though continuity is likely.</w:t>
      </w:r>
    </w:p>
    <w:bookmarkEnd w:id="13"/>
    <w:bookmarkStart w:id="14" w:name="investments--other"/>
    <w:p>
      <w:pPr>
        <w:pStyle w:val="Heading2"/>
      </w:pPr>
      <w:r>
        <w:t xml:space="preserve">Investments &amp; other</w:t>
      </w:r>
    </w:p>
    <w:p>
      <w:pPr>
        <w:pStyle w:val="FirstParagraph"/>
      </w:pPr>
      <w:r>
        <w:t xml:space="preserve">Net investment income has been a steady tailwind (**+9.8% to</w:t>
      </w:r>
      <w:r>
        <w:t xml:space="preserve"> </w:t>
      </w:r>
      <m:oMath>
        <m:r>
          <m:t>938</m:t>
        </m:r>
        <m:r>
          <m:t>M</m:t>
        </m:r>
        <m:r>
          <m:t>i</m:t>
        </m:r>
        <m:r>
          <m:t>n</m:t>
        </m:r>
        <m:r>
          <m:t>Q</m:t>
        </m:r>
        <m:r>
          <m:t>1</m:t>
        </m:r>
        <m:r>
          <m:rPr>
            <m:sty m:val="p"/>
          </m:rPr>
          <m:t>*</m:t>
        </m:r>
        <m:r>
          <m:rPr>
            <m:sty m:val="p"/>
          </m:rPr>
          <m:t>*</m:t>
        </m:r>
        <m:r>
          <m:rPr>
            <m:sty m:val="p"/>
          </m:rPr>
          <m:t>)</m:t>
        </m:r>
        <m:r>
          <m:t>a</m:t>
        </m:r>
        <m:r>
          <m:t>s</m:t>
        </m:r>
        <m:r>
          <m:t>t</m:t>
        </m:r>
        <m:r>
          <m:t>h</m:t>
        </m:r>
        <m:r>
          <m:t>e</m:t>
        </m:r>
        <m:r>
          <m:t> </m:t>
        </m:r>
      </m:oMath>
      <w:r>
        <w:t xml:space="preserve">85B portfolio grew and duration was extended to ~5.7 years, with equity exposure roughly doubled to ~12%. Watch performance-based (private equity/real estate) marks, which are lumpy. Within Protection Services,</w:t>
      </w:r>
      <w:r>
        <w:t xml:space="preserve"> </w:t>
      </w:r>
      <w:r>
        <w:rPr>
          <w:b/>
          <w:bCs/>
        </w:rPr>
        <w:t xml:space="preserve">Protection Plans</w:t>
      </w:r>
      <w:r>
        <w:t xml:space="preserve"> </w:t>
      </w:r>
      <w:r>
        <w:t xml:space="preserve">keeps compounding (+13.5% revenue in Q1), while</w:t>
      </w:r>
      <w:r>
        <w:t xml:space="preserve"> </w:t>
      </w:r>
      <w:r>
        <w:rPr>
          <w:b/>
          <w:bCs/>
        </w:rPr>
        <w:t xml:space="preserve">Arity</w:t>
      </w:r>
      <w:r>
        <w:t xml:space="preserve"> </w:t>
      </w:r>
      <w:r>
        <w:t xml:space="preserve">losses and restructuring are a small drag.</w:t>
      </w:r>
    </w:p>
    <w:bookmarkEnd w:id="14"/>
    <w:bookmarkStart w:id="15" w:name="scenarios--how-to-trade-the-reaction"/>
    <w:p>
      <w:pPr>
        <w:pStyle w:val="Heading2"/>
      </w:pPr>
      <w:r>
        <w:t xml:space="preserve">Scenarios / how to trade the reaction</w:t>
      </w:r>
    </w:p>
    <w:p>
      <w:pPr>
        <w:pStyle w:val="Compact"/>
        <w:numPr>
          <w:ilvl w:val="0"/>
          <w:numId w:val="1003"/>
        </w:numPr>
      </w:pPr>
      <w:r>
        <w:rPr>
          <w:b/>
          <w:bCs/>
        </w:rPr>
        <w:t xml:space="preserve">Bull case (stock holds/extends):</w:t>
      </w:r>
      <w:r>
        <w:t xml:space="preserve"> </w:t>
      </w:r>
      <w:r>
        <w:t xml:space="preserve">underlying auto CR stays comfortably below the mid-90s target</w:t>
      </w:r>
      <w:r>
        <w:t xml:space="preserve"> </w:t>
      </w:r>
      <w:r>
        <w:rPr>
          <w:i/>
          <w:iCs/>
        </w:rPr>
        <w:t xml:space="preserve">without</w:t>
      </w:r>
      <w:r>
        <w:t xml:space="preserve"> </w:t>
      </w:r>
      <w:r>
        <w:t xml:space="preserve">heavy reliance on reserve releases, homeowners margins hold, PIF growth confirms acceleration, and buyback pace stays elevated. Validates the re-rating.</w:t>
      </w:r>
    </w:p>
    <w:p>
      <w:pPr>
        <w:pStyle w:val="Compact"/>
        <w:numPr>
          <w:ilvl w:val="0"/>
          <w:numId w:val="1003"/>
        </w:numPr>
      </w:pPr>
      <w:r>
        <w:rPr>
          <w:b/>
          <w:bCs/>
        </w:rPr>
        <w:t xml:space="preserve">Bear/"good-but-priced-in" case:</w:t>
      </w:r>
      <w:r>
        <w:t xml:space="preserve"> </w:t>
      </w:r>
      <w:r>
        <w:t xml:space="preserve">a clean EPS beat driven mostly by reserve releases and lower cats, with the</w:t>
      </w:r>
      <w:r>
        <w:t xml:space="preserve"> </w:t>
      </w:r>
      <w:r>
        <w:rPr>
          <w:i/>
          <w:iCs/>
        </w:rPr>
        <w:t xml:space="preserve">underlying</w:t>
      </w:r>
      <w:r>
        <w:t xml:space="preserve"> </w:t>
      </w:r>
      <w:r>
        <w:t xml:space="preserve">auto margin ticking up (normalizing) and growth still only ~mid-single-digits. With the stock above the average price target and near highs, that combination could trigger profit-taking even on an in-line-to-better headline.</w:t>
      </w:r>
    </w:p>
    <w:p>
      <w:pPr>
        <w:pStyle w:val="FirstParagraph"/>
      </w:pPr>
      <w:r>
        <w:rPr>
          <w:b/>
          <w:bCs/>
        </w:rPr>
        <w:t xml:space="preserve">Bottom line:</w:t>
      </w:r>
      <w:r>
        <w:t xml:space="preserve"> </w:t>
      </w:r>
      <w:r>
        <w:t xml:space="preserve">the fundamentals are excellent and the biggest risk factors (cats, policy counts) are largely pre-disclosed, so this print is more about</w:t>
      </w:r>
      <w:r>
        <w:t xml:space="preserve"> </w:t>
      </w:r>
      <w:r>
        <w:rPr>
          <w:i/>
          <w:iCs/>
        </w:rPr>
        <w:t xml:space="preserve">narrative and margin trajectory</w:t>
      </w:r>
      <w:r>
        <w:t xml:space="preserve"> </w:t>
      </w:r>
      <w:r>
        <w:t xml:space="preserve">than the headline EPS. The key tension: a franchise firing on all cylinders vs. a stock that has already priced in a lot of good news and trades through the sell-side target. Focus on the</w:t>
      </w:r>
      <w:r>
        <w:t xml:space="preserve"> </w:t>
      </w:r>
      <w:r>
        <w:rPr>
          <w:b/>
          <w:bCs/>
        </w:rPr>
        <w:t xml:space="preserve">underlying (ex-cat, ex-reserve) auto combined ratio and the pace of growth/rate cuts</w:t>
      </w:r>
      <w:r>
        <w:t xml:space="preserve"> </w:t>
      </w:r>
      <w:r>
        <w:t xml:space="preserve">as the real tells.</w:t>
      </w:r>
    </w:p>
    <w:p>
      <w:pPr>
        <w:pStyle w:val="BodyText"/>
      </w:pPr>
      <w:r>
        <w:rPr>
          <w:i/>
          <w:iCs/>
        </w:rPr>
        <w:t xml:space="preserve">Preview based on Allstate's Q1 2026 results (Apr 29–30), the Q2 2026 catastrophe/monthly disclosures (May 31 &amp; June 30 data), the July 14 CFO announcement, market pricing through Aug 4, and publicly reported consensus estimates. Figures for Q2 2026 are estimates/pre-disclosures, not final reported results.</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2026-08-05T01:24:57Z</dcterms:created>
  <dcterms:modified xsi:type="dcterms:W3CDTF">2026-08-05T01:24:57Z</dcterms:modified>
</cp:coreProperties>
</file>

<file path=docProps/custom.xml><?xml version="1.0" encoding="utf-8"?>
<Properties xmlns="http://schemas.openxmlformats.org/officeDocument/2006/custom-properties" xmlns:vt="http://schemas.openxmlformats.org/officeDocument/2006/docPropsVTypes"/>
</file>