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06fb077e4eb382d763ae68611dd11ba65b997b0"/>
    <w:p>
      <w:pPr>
        <w:pStyle w:val="Heading1"/>
      </w:pPr>
      <w:r>
        <w:t xml:space="preserve">Allstate Corporation (NYSE: ALL) — Q2 2026 Earnings Preview</w:t>
      </w:r>
    </w:p>
    <w:p>
      <w:pPr>
        <w:pStyle w:val="FirstParagraph"/>
      </w:pPr>
      <w:r>
        <w:rPr>
          <w:b/>
          <w:bCs/>
        </w:rPr>
        <w:t xml:space="preserve">Report date:</w:t>
      </w:r>
      <w:r>
        <w:t xml:space="preserve"> </w:t>
      </w:r>
      <w:r>
        <w:t xml:space="preserve">Wednesday, August 5, 2026, after 4:15 p.m. ET (earnings release/8-K)</w:t>
      </w:r>
      <w:r>
        <w:t xml:space="preserve"> </w:t>
      </w:r>
      <w:r>
        <w:rPr>
          <w:b/>
          <w:bCs/>
        </w:rPr>
        <w:t xml:space="preserve">Call date:</w:t>
      </w:r>
      <w:r>
        <w:t xml:space="preserve"> </w:t>
      </w:r>
      <w:r>
        <w:t xml:space="preserve">Thursday, August 6, 2026, 9:00 a.m. ET</w:t>
      </w:r>
    </w:p>
    <w:p>
      <w:r>
        <w:pict>
          <v:rect style="width:0;height:1.5pt" o:hralign="center" o:hrstd="t" o:hr="t"/>
        </w:pict>
      </w:r>
    </w:p>
    <w:bookmarkStart w:id="9" w:name="X0047b58ce06bd8fca55851c0ec3380995e31dc4"/>
    <w:p>
      <w:pPr>
        <w:pStyle w:val="Heading2"/>
      </w:pPr>
      <w:r>
        <w:t xml:space="preserve">1. Setup: A stock that has been on a tear into the print</w:t>
      </w:r>
    </w:p>
    <w:p>
      <w:pPr>
        <w:pStyle w:val="FirstParagraph"/>
      </w:pPr>
      <w:r>
        <w:t xml:space="preserve">ALL shares have rallied roughly</w:t>
      </w:r>
      <w:r>
        <w:t xml:space="preserve"> </w:t>
      </w:r>
      <w:r>
        <w:rPr>
          <w:b/>
          <w:bCs/>
        </w:rPr>
        <w:t xml:space="preserve">29% since early April</w:t>
      </w:r>
      <w:r>
        <w:t xml:space="preserve"> </w:t>
      </w:r>
      <w:r>
        <w:t xml:space="preserve">(from ~</w:t>
      </w:r>
      <m:oMath>
        <m:r>
          <m:t>204</m:t>
        </m:r>
        <m:r>
          <m:t>t</m:t>
        </m:r>
        <m:r>
          <m:t>o</m:t>
        </m:r>
        <m:r>
          <m:t> </m:t>
        </m:r>
      </m:oMath>
      <w:r>
        <w:t xml:space="preserve">262-263 as of August 4), including a sharp acceleration since late June that coincided with the release of favorable monthly catastrophe data and the CFO announcement. The stock is trading near all-time highs heading into the print, which raises the bar for the results and management's commentary. At current levels, ALL trades around</w:t>
      </w:r>
      <w:r>
        <w:t xml:space="preserve"> </w:t>
      </w:r>
      <w:r>
        <w:rPr>
          <w:b/>
          <w:bCs/>
        </w:rPr>
        <w:t xml:space="preserve">2.3x</w:t>
      </w:r>
      <w:r>
        <w:t xml:space="preserve"> </w:t>
      </w:r>
      <w:r>
        <w:t xml:space="preserve">trailing book value per share ($113.52 at 3/31/26) and roughly</w:t>
      </w:r>
      <w:r>
        <w:t xml:space="preserve"> </w:t>
      </w:r>
      <w:r>
        <w:rPr>
          <w:b/>
          <w:bCs/>
        </w:rPr>
        <w:t xml:space="preserve">6x</w:t>
      </w:r>
      <w:r>
        <w:t xml:space="preserve"> </w:t>
      </w:r>
      <w:r>
        <w:t xml:space="preserve">trailing-twelve-month adjusted EPS — a low multiple relative to the ~44% adjusted ROE the company has been generating, which is exactly the "cheap stock, great returns" narrative CEO Tom Wilson has been pushing to investors.</w:t>
      </w:r>
    </w:p>
    <w:bookmarkEnd w:id="9"/>
    <w:bookmarkStart w:id="10" w:name="Xcd9c4475386285fd06a66fdbf183cb19cc44e65"/>
    <w:p>
      <w:pPr>
        <w:pStyle w:val="Heading2"/>
      </w:pPr>
      <w:r>
        <w:t xml:space="preserve">2. The known quantity: Q2 catastrophe losses already pre-announced</w:t>
      </w:r>
    </w:p>
    <w:p>
      <w:pPr>
        <w:pStyle w:val="FirstParagraph"/>
      </w:pPr>
      <w:r>
        <w:t xml:space="preserve">Unlike most companies, Allstate discloses monthly catastrophe losses, so the cat-loss line for Q2 is already largely known heading into the release: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Month</w:t>
            </w:r>
          </w:p>
        </w:tc>
        <w:tc>
          <w:tcPr/>
          <w:p>
            <w:pPr>
              <w:pStyle w:val="Compact"/>
            </w:pPr>
            <w:r>
              <w:t xml:space="preserve">Pretax Cat Losses</w:t>
            </w:r>
          </w:p>
        </w:tc>
        <w:tc>
          <w:tcPr/>
          <w:p>
            <w:pPr>
              <w:pStyle w:val="Compact"/>
            </w:pPr>
            <w:r>
              <w:t xml:space="preserve">After-Tax</w:t>
            </w:r>
          </w:p>
        </w:tc>
      </w:tr>
      <w:tr>
        <w:tc>
          <w:tcPr/>
          <w:p>
            <w:pPr>
              <w:pStyle w:val="Compact"/>
            </w:pPr>
            <w:r>
              <w:t xml:space="preserve">April + May</w:t>
            </w:r>
          </w:p>
        </w:tc>
        <w:tc>
          <w:tcPr/>
          <w:p>
            <w:pPr>
              <w:pStyle w:val="Compact"/>
            </w:pPr>
            <w:r>
              <w:t xml:space="preserve">$1.16B</w:t>
            </w:r>
          </w:p>
        </w:tc>
        <w:tc>
          <w:tcPr/>
          <w:p>
            <w:pPr>
              <w:pStyle w:val="Compact"/>
            </w:pPr>
            <w:r>
              <w:t xml:space="preserve">$915M</w:t>
            </w:r>
          </w:p>
        </w:tc>
      </w:tr>
      <w:tr>
        <w:tc>
          <w:tcPr/>
          <w:p>
            <w:pPr>
              <w:pStyle w:val="Compact"/>
            </w:pPr>
            <w:r>
              <w:t xml:space="preserve">June</w:t>
            </w:r>
          </w:p>
        </w:tc>
        <w:tc>
          <w:tcPr/>
          <w:p>
            <w:pPr>
              <w:pStyle w:val="Compact"/>
            </w:pPr>
            <w:r>
              <w:t xml:space="preserve">$563M</w:t>
            </w:r>
          </w:p>
        </w:tc>
        <w:tc>
          <w:tcPr/>
          <w:p>
            <w:pPr>
              <w:pStyle w:val="Compact"/>
            </w:pPr>
            <w:r>
              <w:t xml:space="preserve">$445M</w:t>
            </w:r>
          </w:p>
        </w:tc>
      </w:tr>
      <w:tr>
        <w:tc>
          <w:tcPr/>
          <w:p>
            <w:pPr>
              <w:pStyle w:val="Compact"/>
            </w:pPr>
            <w:r>
              <w:rPr>
                <w:b/>
                <w:bCs/>
              </w:rPr>
              <w:t xml:space="preserve">Q2 2026 Total</w:t>
            </w:r>
          </w:p>
        </w:tc>
        <w:tc>
          <w:tcPr/>
          <w:p>
            <w:pPr>
              <w:pStyle w:val="Compact"/>
            </w:pPr>
            <w:r>
              <w:rPr>
                <w:b/>
                <w:bCs/>
              </w:rPr>
              <w:t xml:space="preserve">~$1.72B</w:t>
            </w:r>
          </w:p>
        </w:tc>
        <w:tc>
          <w:tcPr/>
          <w:p>
            <w:pPr>
              <w:pStyle w:val="Compact"/>
            </w:pPr>
            <w:r>
              <w:rPr>
                <w:b/>
                <w:bCs/>
              </w:rPr>
              <w:t xml:space="preserve">~$1.36B</w:t>
            </w:r>
          </w:p>
        </w:tc>
      </w:tr>
    </w:tbl>
    <w:p>
      <w:pPr>
        <w:pStyle w:val="BodyText"/>
      </w:pPr>
      <w:r>
        <w:t xml:space="preserve">This compares favorably to</w:t>
      </w:r>
      <w:r>
        <w:t xml:space="preserve"> </w:t>
      </w:r>
      <w:r>
        <w:rPr>
          <w:b/>
          <w:bCs/>
        </w:rPr>
        <w:t xml:space="preserve">Q2 2025's $1.99B pretax</w:t>
      </w:r>
      <w:r>
        <w:t xml:space="preserve"> </w:t>
      </w:r>
      <w:r>
        <w:t xml:space="preserve">(and $1.6B in homeowners cat losses alone last year), representing a roughly</w:t>
      </w:r>
      <w:r>
        <w:t xml:space="preserve"> </w:t>
      </w:r>
      <w:r>
        <w:rPr>
          <w:b/>
          <w:bCs/>
        </w:rPr>
        <w:t xml:space="preserve">13-14% year-over-year decline</w:t>
      </w:r>
      <w:r>
        <w:t xml:space="preserve"> </w:t>
      </w:r>
      <w:r>
        <w:t xml:space="preserve">in catastrophe losses. That's a meaningfully easier setup than a year ago, when Q2 2025 combined ratio was pressured to 91.1. A lighter cat quarter should support another quarter of strong headline combined ratio and underwriting income, continuing the trend from Q1 2026 (Property-Liability combined ratio of 82.0, underlying combined ratio 80.3).</w:t>
      </w:r>
    </w:p>
    <w:bookmarkEnd w:id="10"/>
    <w:bookmarkStart w:id="11" w:name="X7c66694b24c3306b3554bcb45716a752a1f6e43"/>
    <w:p>
      <w:pPr>
        <w:pStyle w:val="Heading2"/>
      </w:pPr>
      <w:r>
        <w:t xml:space="preserve">3. Q1 momentum to watch for continuation</w:t>
      </w:r>
    </w:p>
    <w:p>
      <w:pPr>
        <w:pStyle w:val="FirstParagraph"/>
      </w:pPr>
      <w:r>
        <w:t xml:space="preserve">Allstate's Q1 2026 print set a high bar:</w:t>
      </w:r>
    </w:p>
    <w:p>
      <w:pPr>
        <w:pStyle w:val="Compact"/>
        <w:numPr>
          <w:ilvl w:val="0"/>
          <w:numId w:val="1001"/>
        </w:numPr>
      </w:pPr>
      <w:r>
        <w:t xml:space="preserve">Adjusted net income of</w:t>
      </w:r>
      <w:r>
        <w:t xml:space="preserve"> </w:t>
      </w:r>
      <w:r>
        <w:rPr>
          <w:b/>
          <w:bCs/>
        </w:rPr>
        <w:t xml:space="preserve">$2.8 billion, or $10.65/diluted share</w:t>
      </w:r>
      <w:r>
        <w:t xml:space="preserve"> </w:t>
      </w:r>
      <w:r>
        <w:t xml:space="preserve">(vs.</w:t>
      </w:r>
      <w:r>
        <w:t xml:space="preserve"> </w:t>
      </w:r>
      <m:oMath>
        <m:r>
          <m:t>3.53</m:t>
        </m:r>
        <m:r>
          <m:t>a</m:t>
        </m:r>
        <m:r>
          <m:t>y</m:t>
        </m:r>
        <m:r>
          <m:t>e</m:t>
        </m:r>
        <m:r>
          <m:t>a</m:t>
        </m:r>
        <m:r>
          <m:t>r</m:t>
        </m:r>
        <m:r>
          <m:t>a</m:t>
        </m:r>
        <m:r>
          <m:t>g</m:t>
        </m:r>
        <m:r>
          <m:t>o</m:t>
        </m:r>
        <m:r>
          <m:rPr>
            <m:sty m:val="p"/>
          </m:rPr>
          <m:t>)</m:t>
        </m:r>
        <m:r>
          <m:rPr>
            <m:sty m:val="p"/>
          </m:rPr>
          <m:t>,</m:t>
        </m:r>
        <m:r>
          <m:t>d</m:t>
        </m:r>
        <m:r>
          <m:t>r</m:t>
        </m:r>
        <m:r>
          <m:t>i</m:t>
        </m:r>
        <m:r>
          <m:t>v</m:t>
        </m:r>
        <m:r>
          <m:t>e</m:t>
        </m:r>
        <m:r>
          <m:t>n</m:t>
        </m:r>
        <m:r>
          <m:t>b</m:t>
        </m:r>
        <m:r>
          <m:t>y</m:t>
        </m:r>
        <m:r>
          <m:t>a</m:t>
        </m:r>
        <m:r>
          <m:t>l</m:t>
        </m:r>
        <m:r>
          <m:t>i</m:t>
        </m:r>
        <m:r>
          <m:t>g</m:t>
        </m:r>
        <m:r>
          <m:t>h</m:t>
        </m:r>
        <m:r>
          <m:t>t</m:t>
        </m:r>
        <m:r>
          <m:t>c</m:t>
        </m:r>
        <m:r>
          <m:t>a</m:t>
        </m:r>
        <m:r>
          <m:t>t</m:t>
        </m:r>
        <m:r>
          <m:t>q</m:t>
        </m:r>
        <m:r>
          <m:t>u</m:t>
        </m:r>
        <m:r>
          <m:t>a</m:t>
        </m:r>
        <m:r>
          <m:t>r</m:t>
        </m:r>
        <m:r>
          <m:t>t</m:t>
        </m:r>
        <m:r>
          <m:t>e</m:t>
        </m:r>
        <m:r>
          <m:t>r</m:t>
        </m:r>
        <m:r>
          <m:t>a</m:t>
        </m:r>
        <m:r>
          <m:t>n</m:t>
        </m:r>
        <m:r>
          <m:t>d</m:t>
        </m:r>
        <m:r>
          <m:rPr>
            <m:sty m:val="p"/>
          </m:rPr>
          <m:t>*</m:t>
        </m:r>
        <m:r>
          <m:rPr>
            <m:sty m:val="p"/>
          </m:rPr>
          <m:t>*</m:t>
        </m:r>
      </m:oMath>
      <w:r>
        <w:t xml:space="preserve">838 million of favorable auto prior-year reserve releases** (an 8.8-point benefit to the auto combined ratio).</w:t>
      </w:r>
    </w:p>
    <w:p>
      <w:pPr>
        <w:pStyle w:val="Compact"/>
        <w:numPr>
          <w:ilvl w:val="0"/>
          <w:numId w:val="1001"/>
        </w:numPr>
      </w:pPr>
      <w:r>
        <w:t xml:space="preserve">Trailing-12-month</w:t>
      </w:r>
      <w:r>
        <w:t xml:space="preserve"> </w:t>
      </w:r>
      <w:r>
        <w:rPr>
          <w:b/>
          <w:bCs/>
        </w:rPr>
        <w:t xml:space="preserve">net income ROE of 48.4%</w:t>
      </w:r>
      <w:r>
        <w:t xml:space="preserve"> </w:t>
      </w:r>
      <w:r>
        <w:t xml:space="preserve">and</w:t>
      </w:r>
      <w:r>
        <w:t xml:space="preserve"> </w:t>
      </w:r>
      <w:r>
        <w:rPr>
          <w:b/>
          <w:bCs/>
        </w:rPr>
        <w:t xml:space="preserve">adjusted ROE of 44.4%</w:t>
      </w:r>
      <w:r>
        <w:t xml:space="preserve">.</w:t>
      </w:r>
    </w:p>
    <w:p>
      <w:pPr>
        <w:pStyle w:val="Compact"/>
        <w:numPr>
          <w:ilvl w:val="0"/>
          <w:numId w:val="1001"/>
        </w:numPr>
      </w:pPr>
      <w:r>
        <w:t xml:space="preserve">Total policies in force of 212 million, +2.5% y/y, with auto and homeowners PIF growth of 2.6% and 2.5%, respectively, and record new business across distribution channels.</w:t>
      </w:r>
    </w:p>
    <w:p>
      <w:pPr>
        <w:pStyle w:val="Compact"/>
        <w:numPr>
          <w:ilvl w:val="0"/>
          <w:numId w:val="1001"/>
        </w:numPr>
      </w:pPr>
      <w:r>
        <w:t xml:space="preserve">Auto underlying combined ratio of 89.5 (improved 1.7 pts y/y); homeowners underlying combined ratio of 60.5.</w:t>
      </w:r>
    </w:p>
    <w:p>
      <w:pPr>
        <w:pStyle w:val="FirstParagraph"/>
      </w:pPr>
      <w:r>
        <w:t xml:space="preserve">Key question for Q2:</w:t>
      </w:r>
      <w:r>
        <w:t xml:space="preserve"> </w:t>
      </w:r>
      <w:r>
        <w:rPr>
          <w:b/>
          <w:bCs/>
        </w:rPr>
        <w:t xml:space="preserve">does the pace of favorable reserve development continue?</w:t>
      </w:r>
      <w:r>
        <w:t xml:space="preserve"> </w:t>
      </w:r>
      <w:r>
        <w:t xml:space="preserve">Management has been candid that most of the "overshoot" in original loss-cost estimates was concentrated in 2023-2024 accident years, and that 2025 reserves haven't fully developed yet. If reserve releases moderate versus Q1's outsized $838 million benefit, the recorded combined ratio could look less spectacular even if underlying trends stay solid — investors should watch the underlying combined ratio (ex-cat, ex-reserve) as the cleaner read, since that improved to 80.3 in Q1 versus 83.1 a year earlier.</w:t>
      </w:r>
    </w:p>
    <w:bookmarkEnd w:id="11"/>
    <w:bookmarkStart w:id="12" w:name="Xfb06ff3776a262bd6ae83066ab261646f9f3c01"/>
    <w:p>
      <w:pPr>
        <w:pStyle w:val="Heading2"/>
      </w:pPr>
      <w:r>
        <w:t xml:space="preserve">4. Segment framework for Q2</w:t>
      </w:r>
    </w:p>
    <w:p>
      <w:pPr>
        <w:pStyle w:val="Compact"/>
        <w:numPr>
          <w:ilvl w:val="0"/>
          <w:numId w:val="1002"/>
        </w:numPr>
      </w:pPr>
      <w:r>
        <w:rPr>
          <w:b/>
          <w:bCs/>
        </w:rPr>
        <w:t xml:space="preserve">Auto insurance:</w:t>
      </w:r>
      <w:r>
        <w:t xml:space="preserve"> </w:t>
      </w:r>
      <w:r>
        <w:t xml:space="preserve">Watch for continued underlying margin improvement (mid-90s CR historically; averaged 89.5 underlying in Q1) alongside PIF growth (+2.6% in Q1, +9.4% new business). Rate actions in Q1 were roughly rate-neutral across 39 locations (23 states cut rates, 16 raised, 10 did both), signaling management is now leaning on volume/affordability rather than broad-based price hikes — a sign of confidence in loss trends but also a potential margin give-up if growth outpaces cost discipline.</w:t>
      </w:r>
    </w:p>
    <w:p>
      <w:pPr>
        <w:pStyle w:val="Compact"/>
        <w:numPr>
          <w:ilvl w:val="0"/>
          <w:numId w:val="1002"/>
        </w:numPr>
      </w:pPr>
      <w:r>
        <w:rPr>
          <w:b/>
          <w:bCs/>
        </w:rPr>
        <w:t xml:space="preserve">Homeowners insurance:</w:t>
      </w:r>
      <w:r>
        <w:t xml:space="preserve"> </w:t>
      </w:r>
      <w:r>
        <w:t xml:space="preserve">A seasonally cat-heavy quarter (spring/summer wind and hail), so the ~$1.7B in Q2 cat losses will disproportionately hit this segment (homeowners absorbed $1.05B of the $1.24B in Q1 cats). The new</w:t>
      </w:r>
      <w:r>
        <w:t xml:space="preserve"> </w:t>
      </w:r>
      <w:r>
        <w:rPr>
          <w:b/>
          <w:bCs/>
        </w:rPr>
        <w:t xml:space="preserve">comprehensive nationwide reinsurance program</w:t>
      </w:r>
      <w:r>
        <w:t xml:space="preserve">, referenced on the Q1 call as reducing capital requirements and dampening earnings volatility, should be in effect for this quarter — worth watching whether it visibly smooths the homeowners cat drag versus peers.</w:t>
      </w:r>
    </w:p>
    <w:p>
      <w:pPr>
        <w:pStyle w:val="Compact"/>
        <w:numPr>
          <w:ilvl w:val="0"/>
          <w:numId w:val="1002"/>
        </w:numPr>
      </w:pPr>
      <w:r>
        <w:rPr>
          <w:b/>
          <w:bCs/>
        </w:rPr>
        <w:t xml:space="preserve">Protection Services:</w:t>
      </w:r>
      <w:r>
        <w:t xml:space="preserve"> </w:t>
      </w:r>
      <w:r>
        <w:t xml:space="preserve">Modest growth business (+7.2% revenue in Q1) with Protection Plans as the primary driver; Arity has been a drag (restructuring charges, weak lead-gen revenue).</w:t>
      </w:r>
    </w:p>
    <w:p>
      <w:pPr>
        <w:pStyle w:val="Compact"/>
        <w:numPr>
          <w:ilvl w:val="0"/>
          <w:numId w:val="1002"/>
        </w:numPr>
      </w:pPr>
      <w:r>
        <w:rPr>
          <w:b/>
          <w:bCs/>
        </w:rPr>
        <w:t xml:space="preserve">Investments:</w:t>
      </w:r>
      <w:r>
        <w:t xml:space="preserve"> </w:t>
      </w:r>
      <w:r>
        <w:t xml:space="preserve">Allstate increased its public equity allocation (to ~12% of the portfolio) and extended fixed income duration (5.7 years) during Q1. Given equity markets rallied hard through Q2/July, this should be a tailwind to net investment income and/or unrealized gains, though the Q1 print already showed some equity-related losses in March that "have since recovered" — worth confirming that recovery flowed through in Q2 investment income and net gains/losses on investments.</w:t>
      </w:r>
    </w:p>
    <w:bookmarkEnd w:id="12"/>
    <w:bookmarkStart w:id="13" w:name="X1cf0c11dafb29b789ae74204fb977f02512d611"/>
    <w:p>
      <w:pPr>
        <w:pStyle w:val="Heading2"/>
      </w:pPr>
      <w:r>
        <w:t xml:space="preserve">5. Leadership transition: New CFO arriving right before the print</w:t>
      </w:r>
    </w:p>
    <w:p>
      <w:pPr>
        <w:pStyle w:val="FirstParagraph"/>
      </w:pPr>
      <w:r>
        <w:t xml:space="preserve">Allstate named</w:t>
      </w:r>
      <w:r>
        <w:t xml:space="preserve"> </w:t>
      </w:r>
      <w:r>
        <w:rPr>
          <w:b/>
          <w:bCs/>
        </w:rPr>
        <w:t xml:space="preserve">Christian (Chris) Lown</w:t>
      </w:r>
      <w:r>
        <w:t xml:space="preserve"> </w:t>
      </w:r>
      <w:r>
        <w:t xml:space="preserve">as EVP and CFO, effective</w:t>
      </w:r>
      <w:r>
        <w:t xml:space="preserve"> </w:t>
      </w:r>
      <w:r>
        <w:rPr>
          <w:b/>
          <w:bCs/>
        </w:rPr>
        <w:t xml:space="preserve">August 3, 2026</w:t>
      </w:r>
      <w:r>
        <w:t xml:space="preserve"> </w:t>
      </w:r>
      <w:r>
        <w:t xml:space="preserve">— just two days before the earnings release and four days before the call. Lown joins from CoStar Group (previously CFO at Freddie Mac and Navient, with a background at Morgan Stanley and UBS), succeeding Jess Merten, who moved to President of Property-Liability in October 2025. John Dugenske, who had been serving as interim CFO while also running Investments &amp; Corporate Strategy, will hand off the role. This means Lown will be brand new on his first earnings call — investors should listen for any early signals on capital allocation philosophy, tone on reserves/pricing discipline, and possible changes to disclosure practices, though a first-quarter "victory lap" of material strategic shifts seems unlikely this early.</w:t>
      </w:r>
    </w:p>
    <w:bookmarkEnd w:id="13"/>
    <w:bookmarkStart w:id="14" w:name="X7b202e0e29e9bd7b5ff7d987b4999e20c763496"/>
    <w:p>
      <w:pPr>
        <w:pStyle w:val="Heading2"/>
      </w:pPr>
      <w:r>
        <w:t xml:space="preserve">6. Capital return and balance sheet</w:t>
      </w:r>
    </w:p>
    <w:p>
      <w:pPr>
        <w:pStyle w:val="Compact"/>
        <w:numPr>
          <w:ilvl w:val="0"/>
          <w:numId w:val="1003"/>
        </w:numPr>
      </w:pPr>
      <w:r>
        <w:t xml:space="preserve">Allstate completed a</w:t>
      </w:r>
      <w:r>
        <w:t xml:space="preserve"> </w:t>
      </w:r>
      <m:oMath>
        <m:r>
          <m:t>1.5</m:t>
        </m:r>
        <m:r>
          <m:t>B</m:t>
        </m:r>
        <m:r>
          <m:t>b</m:t>
        </m:r>
        <m:r>
          <m:t>u</m:t>
        </m:r>
        <m:r>
          <m:t>y</m:t>
        </m:r>
        <m:r>
          <m:t>b</m:t>
        </m:r>
        <m:r>
          <m:t>a</m:t>
        </m:r>
        <m:r>
          <m:t>c</m:t>
        </m:r>
        <m:r>
          <m:t>k</m:t>
        </m:r>
        <m:r>
          <m:t>p</m:t>
        </m:r>
        <m:r>
          <m:t>r</m:t>
        </m:r>
        <m:r>
          <m:t>o</m:t>
        </m:r>
        <m:r>
          <m:t>g</m:t>
        </m:r>
        <m:r>
          <m:t>r</m:t>
        </m:r>
        <m:r>
          <m:t>a</m:t>
        </m:r>
        <m:r>
          <m:t>m</m:t>
        </m:r>
        <m:r>
          <m:t>a</m:t>
        </m:r>
        <m:r>
          <m:t>n</m:t>
        </m:r>
        <m:r>
          <m:t>d</m:t>
        </m:r>
        <m:r>
          <m:t>l</m:t>
        </m:r>
        <m:r>
          <m:t>a</m:t>
        </m:r>
        <m:r>
          <m:t>u</m:t>
        </m:r>
        <m:r>
          <m:t>n</m:t>
        </m:r>
        <m:r>
          <m:t>c</m:t>
        </m:r>
        <m:r>
          <m:t>h</m:t>
        </m:r>
        <m:r>
          <m:t>e</m:t>
        </m:r>
        <m:r>
          <m:t>d</m:t>
        </m:r>
        <m:r>
          <m:t>a</m:t>
        </m:r>
        <m:r>
          <m:t>n</m:t>
        </m:r>
        <m:r>
          <m:t>e</m:t>
        </m:r>
        <m:r>
          <m:t>w</m:t>
        </m:r>
        <m:r>
          <m:rPr>
            <m:sty m:val="p"/>
          </m:rPr>
          <m:t>*</m:t>
        </m:r>
        <m:r>
          <m:rPr>
            <m:sty m:val="p"/>
          </m:rPr>
          <m:t>*</m:t>
        </m:r>
      </m:oMath>
      <w:r>
        <w:t xml:space="preserve">4 billion authorization** in Q1, with</w:t>
      </w:r>
      <w:r>
        <w:t xml:space="preserve"> </w:t>
      </w:r>
      <w:r>
        <w:rPr>
          <w:b/>
          <w:bCs/>
        </w:rPr>
        <w:t xml:space="preserve">$3.6 billion remaining</w:t>
      </w:r>
      <w:r>
        <w:t xml:space="preserve"> </w:t>
      </w:r>
      <w:r>
        <w:t xml:space="preserve">as of March 31 and an accelerating pace of repurchases through the quarter (management explicitly said the acceleration "wasn't just a onetime thing" and would continue). Watch the Q2 buyback figure for confirmation of that accelerated cadence — Q1 returned $881 million to shareholders via dividends and buybacks.</w:t>
      </w:r>
    </w:p>
    <w:p>
      <w:pPr>
        <w:pStyle w:val="Compact"/>
        <w:numPr>
          <w:ilvl w:val="0"/>
          <w:numId w:val="1003"/>
        </w:numPr>
      </w:pPr>
      <w:r>
        <w:t xml:space="preserve">Book value per share stood at $113.52 at Q1-end, up 52% y/y (partly reserve-release-and-earnings driven, partly lower share count).</w:t>
      </w:r>
    </w:p>
    <w:p>
      <w:pPr>
        <w:pStyle w:val="Compact"/>
        <w:numPr>
          <w:ilvl w:val="0"/>
          <w:numId w:val="1003"/>
        </w:numPr>
      </w:pPr>
      <w:r>
        <w:t xml:space="preserve">Debt levels have been stable (~$7.5B), with a healthy capital position supporting both growth investment and buybacks.</w:t>
      </w:r>
    </w:p>
    <w:bookmarkEnd w:id="14"/>
    <w:bookmarkStart w:id="15" w:name="Xa54987a2a86e5d7ac89c4fd100850b0c62dd333"/>
    <w:p>
      <w:pPr>
        <w:pStyle w:val="Heading2"/>
      </w:pPr>
      <w:r>
        <w:t xml:space="preserve">7. Macro and competitive backdrop</w:t>
      </w:r>
    </w:p>
    <w:p>
      <w:pPr>
        <w:pStyle w:val="Compact"/>
        <w:numPr>
          <w:ilvl w:val="0"/>
          <w:numId w:val="1004"/>
        </w:numPr>
      </w:pPr>
      <w:r>
        <w:rPr>
          <w:b/>
          <w:bCs/>
        </w:rPr>
        <w:t xml:space="preserve">Oil/gas price shock:</w:t>
      </w:r>
      <w:r>
        <w:t xml:space="preserve"> </w:t>
      </w:r>
      <w:r>
        <w:t xml:space="preserve">The ongoing Iran conflict and effective closure of the Strait of Hormuz have pushed gasoline prices toward $4+/gallon and crude toward the $110/barrel level industry-wide this year. Management's own framework (roughly a third of driving is discretionary) suggests this could modestly dampen auto claim frequency, while elevated petroleum-linked input costs (plastics, asphalt shingles) create some upward pressure on severity. Management said on the Q1 call it wasn't yet seeing a material severity impact, but this is a bigger swing factor now than it was three months ago given sustained high pump prices — worth listening for an updated read.</w:t>
      </w:r>
    </w:p>
    <w:p>
      <w:pPr>
        <w:pStyle w:val="Compact"/>
        <w:numPr>
          <w:ilvl w:val="0"/>
          <w:numId w:val="1004"/>
        </w:numPr>
      </w:pPr>
      <w:r>
        <w:rPr>
          <w:b/>
          <w:bCs/>
        </w:rPr>
        <w:t xml:space="preserve">Regulatory tailwinds:</w:t>
      </w:r>
      <w:r>
        <w:t xml:space="preserve"> </w:t>
      </w:r>
      <w:r>
        <w:t xml:space="preserve">Management flagged optimism around New York litigation/tort reforms under Governor Hochul as a potential unlock for growth in a state where Allstate has historically pulled back, plus continued (slow) improvement in California's homeowners market. Any concrete regulatory progress commentary would be a positive incremental data point.</w:t>
      </w:r>
    </w:p>
    <w:p>
      <w:pPr>
        <w:pStyle w:val="Compact"/>
        <w:numPr>
          <w:ilvl w:val="0"/>
          <w:numId w:val="1004"/>
        </w:numPr>
      </w:pPr>
      <w:r>
        <w:rPr>
          <w:b/>
          <w:bCs/>
        </w:rPr>
        <w:t xml:space="preserve">Peer read-throughs:</w:t>
      </w:r>
      <w:r>
        <w:t xml:space="preserve"> </w:t>
      </w:r>
      <w:r>
        <w:t xml:space="preserve">Travelers' Q2 2026 results (reported July 17) showed the same industry tailwind — catastrophe losses of $518 million pretax, down sharply from $927 million a year ago, plus $578 million of net favorable reserve development, driving core EPS of $10.04 (up from $6.51) and a Personal Insurance combined ratio improvement of 8.9 points. Progressive's June combined ratio ticked up to 90.0 (from 86.6) on cat losses, but its year-to-date combined ratio of 86.9 remained healthy with continued double-digit personal-auto growth. The read-through is a benign industry cat/loss-cost environment in Q2, consistent with what Allstate has already pre-announced.</w:t>
      </w:r>
    </w:p>
    <w:bookmarkEnd w:id="15"/>
    <w:bookmarkStart w:id="17" w:name="X58ff00f5a172d27565dde3052d1726ac7e7d299"/>
    <w:p>
      <w:pPr>
        <w:pStyle w:val="Heading2"/>
      </w:pPr>
      <w:r>
        <w:t xml:space="preserve">8. What could move the stock</w:t>
      </w:r>
    </w:p>
    <w:p>
      <w:pPr>
        <w:pStyle w:val="FirstParagraph"/>
      </w:pPr>
      <w:r>
        <w:rPr>
          <w:b/>
          <w:bCs/>
        </w:rPr>
        <w:t xml:space="preserve">Upside catalysts:</w:t>
      </w:r>
      <w:r>
        <w:t xml:space="preserve"> </w:t>
      </w:r>
      <w:r>
        <w:t xml:space="preserve">underlying combined ratio holding near/below Q1's 80.3 level; continued double-digit new business growth in auto and homeowners; confirmation of accelerated buyback pace; incremental favorable reserve development; investment income beat from the equity/duration repositioning.</w:t>
      </w:r>
    </w:p>
    <w:p>
      <w:pPr>
        <w:pStyle w:val="BodyText"/>
      </w:pPr>
      <w:r>
        <w:rPr>
          <w:b/>
          <w:bCs/>
        </w:rPr>
        <w:t xml:space="preserve">Risk/watch items:</w:t>
      </w:r>
      <w:r>
        <w:t xml:space="preserve"> </w:t>
      </w:r>
      <w:r>
        <w:t xml:space="preserve">a normalization (i.e., smaller) reserve release relative to Q1's outsized $838 million auto benefit, which could make the y/y comparison look less dramatic even if underlying trends are fine; homeowners cat drag given Q2 is peak severe-weather season; any read-through from the Strait of Hormuz/oil-price disruption on parts costs and repair severity; commentary from a brand-new CFO that introduces uncertainty around capital-allocation continuity; and the sustainability of premium growth without giving up too much margin as Allstate leans into affordability and share gains (management has explicitly said it's willing to trade some margin for growth).</w:t>
      </w:r>
    </w:p>
    <w:p>
      <w:r>
        <w:pict>
          <v:rect style="width:0;height:1.5pt" o:hralign="center" o:hrstd="t" o:hr="t"/>
        </w:pict>
      </w:r>
    </w:p>
    <w:bookmarkStart w:id="16" w:name="X86c7b06f347be71c221ad25f2a93c16adf288b6"/>
    <w:p>
      <w:pPr>
        <w:pStyle w:val="Heading3"/>
      </w:pPr>
      <w:r>
        <w:t xml:space="preserve">Quick reference: Key Q2 2025 vs. expected Q2 2026 comparisons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2025</w:t>
            </w:r>
          </w:p>
        </w:tc>
        <w:tc>
          <w:tcPr/>
          <w:p>
            <w:pPr>
              <w:pStyle w:val="Compact"/>
            </w:pPr>
            <w:r>
              <w:t xml:space="preserve">Q2 2026 (known/expected)</w:t>
            </w:r>
          </w:p>
        </w:tc>
      </w:tr>
      <w:tr>
        <w:tc>
          <w:tcPr/>
          <w:p>
            <w:pPr>
              <w:pStyle w:val="Compact"/>
            </w:pPr>
            <w:r>
              <w:t xml:space="preserve">Cat losses (pretax)</w:t>
            </w:r>
          </w:p>
        </w:tc>
        <w:tc>
          <w:tcPr/>
          <w:p>
            <w:pPr>
              <w:pStyle w:val="Compact"/>
            </w:pPr>
            <w:r>
              <w:t xml:space="preserve">$1.99B</w:t>
            </w:r>
          </w:p>
        </w:tc>
        <w:tc>
          <w:tcPr/>
          <w:p>
            <w:pPr>
              <w:pStyle w:val="Compact"/>
            </w:pPr>
            <w:r>
              <w:t xml:space="preserve">~$1.72B (pre-announced, -13%)</w:t>
            </w:r>
          </w:p>
        </w:tc>
      </w:tr>
      <w:tr>
        <w:tc>
          <w:tcPr/>
          <w:p>
            <w:pPr>
              <w:pStyle w:val="Compact"/>
            </w:pPr>
            <w:r>
              <w:t xml:space="preserve">Adjusted EPS</w:t>
            </w:r>
          </w:p>
        </w:tc>
        <w:tc>
          <w:tcPr/>
          <w:p>
            <w:pPr>
              <w:pStyle w:val="Compact"/>
            </w:pPr>
            <w:r>
              <w:t xml:space="preserve">$5.94</w:t>
            </w:r>
          </w:p>
        </w:tc>
        <w:tc>
          <w:tcPr/>
          <w:p>
            <w:pPr>
              <w:pStyle w:val="Compact"/>
            </w:pPr>
            <w:r>
              <w:t xml:space="preserve">Likely well above, given easier cat comp and continued reserve releases</w:t>
            </w:r>
          </w:p>
        </w:tc>
      </w:tr>
      <w:tr>
        <w:tc>
          <w:tcPr/>
          <w:p>
            <w:pPr>
              <w:pStyle w:val="Compact"/>
            </w:pPr>
            <w:r>
              <w:t xml:space="preserve">P-L Combined ratio</w:t>
            </w:r>
          </w:p>
        </w:tc>
        <w:tc>
          <w:tcPr/>
          <w:p>
            <w:pPr>
              <w:pStyle w:val="Compact"/>
            </w:pPr>
            <w:r>
              <w:t xml:space="preserve">91.1</w:t>
            </w:r>
          </w:p>
        </w:tc>
        <w:tc>
          <w:tcPr/>
          <w:p>
            <w:pPr>
              <w:pStyle w:val="Compact"/>
            </w:pPr>
            <w:r>
              <w:t xml:space="preserve">Should improve meaningfully on lower cats</w:t>
            </w:r>
          </w:p>
        </w:tc>
      </w:tr>
      <w:tr>
        <w:tc>
          <w:tcPr/>
          <w:p>
            <w:pPr>
              <w:pStyle w:val="Compact"/>
            </w:pPr>
            <w:r>
              <w:t xml:space="preserve">Total policies in force</w:t>
            </w:r>
          </w:p>
        </w:tc>
        <w:tc>
          <w:tcPr/>
          <w:p>
            <w:pPr>
              <w:pStyle w:val="Compact"/>
            </w:pPr>
            <w:r>
              <w:t xml:space="preserve">208.2M</w:t>
            </w:r>
          </w:p>
        </w:tc>
        <w:tc>
          <w:tcPr/>
          <w:p>
            <w:pPr>
              <w:pStyle w:val="Compact"/>
            </w:pPr>
            <w:r>
              <w:t xml:space="preserve">Tracking ~212M+ area based on May PIF data (38.8M P-L policies)</w:t>
            </w:r>
          </w:p>
        </w:tc>
      </w:tr>
    </w:tbl>
    <w:p>
      <w:pPr>
        <w:pStyle w:val="BodyText"/>
      </w:pPr>
      <w:r>
        <w:t xml:space="preserve">Given the pre-announced catastrophe losses and continued favorable industry-wide trends (lower cats, reserve releases) that Travelers and Progressive have already confirmed for the quarter, the setup favors another strong headline print — the debate for investors is less about a beat/miss on cats (largely known) and more about the durability of reserve releases, underlying margin trends in a period of accelerating growth, and early tone from incoming CFO Chris Lown.</w:t>
      </w:r>
    </w:p>
    <w:bookmarkEnd w:id="16"/>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2026-08-05T01:31:03Z</dcterms:created>
  <dcterms:modified xsi:type="dcterms:W3CDTF">2026-08-05T01:31:03Z</dcterms:modified>
</cp:coreProperties>
</file>

<file path=docProps/custom.xml><?xml version="1.0" encoding="utf-8"?>
<Properties xmlns="http://schemas.openxmlformats.org/officeDocument/2006/custom-properties" xmlns:vt="http://schemas.openxmlformats.org/officeDocument/2006/docPropsVTypes"/>
</file>