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6dfa161bf7c44040382619bdc8ea10702dde5e"/>
    <w:p>
      <w:pPr>
        <w:pStyle w:val="Heading1"/>
      </w:pPr>
      <w:r>
        <w:t xml:space="preserve">Allstate (NYSE: ALL) — Q2 2026 Earnings Preview</w:t>
      </w:r>
    </w:p>
    <w:p>
      <w:pPr>
        <w:pStyle w:val="BlockText"/>
      </w:pPr>
      <w:r>
        <w:rPr>
          <w:b/>
          <w:bCs/>
        </w:rPr>
        <w:t xml:space="preserve">Timing clarification:</w:t>
      </w:r>
      <w:r>
        <w:t xml:space="preserve"> </w:t>
      </w:r>
      <w:r>
        <w:t xml:space="preserve">Allstate is scheduled to release Q2 results</w:t>
      </w:r>
      <w:r>
        <w:t xml:space="preserve"> </w:t>
      </w:r>
      <w:r>
        <w:rPr>
          <w:b/>
          <w:bCs/>
        </w:rPr>
        <w:t xml:space="preserve">today, Wednesday, August 5, 2026, after 4:15 p.m. ET</w:t>
      </w:r>
      <w:r>
        <w:t xml:space="preserve">. The earnings call is</w:t>
      </w:r>
      <w:r>
        <w:t xml:space="preserve"> </w:t>
      </w:r>
      <w:r>
        <w:rPr>
          <w:b/>
          <w:bCs/>
        </w:rPr>
        <w:t xml:space="preserve">tomorrow, Thursday, August 6, at 9:00 a.m. ET</w:t>
      </w:r>
      <w:r>
        <w:t xml:space="preserve">.</w:t>
      </w:r>
    </w:p>
    <w:bookmarkStart w:id="9" w:name="investment-setup"/>
    <w:p>
      <w:pPr>
        <w:pStyle w:val="Heading2"/>
      </w:pPr>
      <w:r>
        <w:t xml:space="preserve">Investment setup</w:t>
      </w:r>
    </w:p>
    <w:p>
      <w:pPr>
        <w:pStyle w:val="FirstParagraph"/>
      </w:pPr>
      <w:r>
        <w:t xml:space="preserve">Allstate enters the report with considerable momentum—and a higher bar. First-quarter results featured exceptional underwriting profitability, accelerating policy growth, significant reserve releases, rising investment income, and aggressive capital returns. The stock closed at</w:t>
      </w:r>
      <w:r>
        <w:t xml:space="preserve"> </w:t>
      </w:r>
      <w:r>
        <w:rPr>
          <w:b/>
          <w:bCs/>
        </w:rPr>
        <w:t xml:space="preserve">$262.60 on August 4</w:t>
      </w:r>
      <w:r>
        <w:t xml:space="preserve">, up roughly</w:t>
      </w:r>
      <w:r>
        <w:t xml:space="preserve"> </w:t>
      </w:r>
      <w:r>
        <w:rPr>
          <w:b/>
          <w:bCs/>
        </w:rPr>
        <w:t xml:space="preserve">24% since the prior earnings release</w:t>
      </w:r>
      <w:r>
        <w:t xml:space="preserve"> </w:t>
      </w:r>
      <w:r>
        <w:t xml:space="preserve">and approximately</w:t>
      </w:r>
      <w:r>
        <w:t xml:space="preserve"> </w:t>
      </w:r>
      <w:r>
        <w:rPr>
          <w:b/>
          <w:bCs/>
        </w:rPr>
        <w:t xml:space="preserve">28% year over year</w:t>
      </w:r>
      <w:r>
        <w:t xml:space="preserve">.</w:t>
      </w:r>
    </w:p>
    <w:p>
      <w:pPr>
        <w:pStyle w:val="BodyText"/>
      </w:pPr>
      <w:r>
        <w:t xml:space="preserve">The central question is therefore not whether Q2 will be profitable. It almost certainly will be. The important question is whether Allstate can demonstrate that its earnings power is sustainable</w:t>
      </w:r>
      <w:r>
        <w:t xml:space="preserve"> </w:t>
      </w:r>
      <w:r>
        <w:rPr>
          <w:b/>
          <w:bCs/>
        </w:rPr>
        <w:t xml:space="preserve">without relying on unusually large reserve releases</w:t>
      </w:r>
      <w:r>
        <w:t xml:space="preserve">, while continuing to grow policies and relax pricing.</w:t>
      </w:r>
    </w:p>
    <w:p>
      <w:pPr>
        <w:pStyle w:val="BodyText"/>
      </w:pPr>
      <w:r>
        <w:t xml:space="preserve">The most important indicators will be:</w:t>
      </w:r>
    </w:p>
    <w:p>
      <w:pPr>
        <w:pStyle w:val="Compact"/>
        <w:numPr>
          <w:ilvl w:val="0"/>
          <w:numId w:val="1001"/>
        </w:numPr>
      </w:pPr>
      <w:r>
        <w:rPr>
          <w:b/>
          <w:bCs/>
        </w:rPr>
        <w:t xml:space="preserve">Underlying auto profitability as growth accelerates</w:t>
      </w:r>
    </w:p>
    <w:p>
      <w:pPr>
        <w:pStyle w:val="Compact"/>
        <w:numPr>
          <w:ilvl w:val="0"/>
          <w:numId w:val="1001"/>
        </w:numPr>
      </w:pPr>
      <w:r>
        <w:rPr>
          <w:b/>
          <w:bCs/>
        </w:rPr>
        <w:t xml:space="preserve">Homeowners results after $1.72 billion of quarterly catastrophe losses</w:t>
      </w:r>
    </w:p>
    <w:p>
      <w:pPr>
        <w:pStyle w:val="Compact"/>
        <w:numPr>
          <w:ilvl w:val="0"/>
          <w:numId w:val="1001"/>
        </w:numPr>
      </w:pPr>
      <w:r>
        <w:rPr>
          <w:b/>
          <w:bCs/>
        </w:rPr>
        <w:t xml:space="preserve">The size and composition of prior-year reserve development</w:t>
      </w:r>
    </w:p>
    <w:p>
      <w:pPr>
        <w:pStyle w:val="Compact"/>
        <w:numPr>
          <w:ilvl w:val="0"/>
          <w:numId w:val="1001"/>
        </w:numPr>
      </w:pPr>
      <w:r>
        <w:rPr>
          <w:b/>
          <w:bCs/>
        </w:rPr>
        <w:t xml:space="preserve">Policy growth and new-business momentum</w:t>
      </w:r>
    </w:p>
    <w:p>
      <w:pPr>
        <w:pStyle w:val="Compact"/>
        <w:numPr>
          <w:ilvl w:val="0"/>
          <w:numId w:val="1001"/>
        </w:numPr>
      </w:pPr>
      <w:r>
        <w:rPr>
          <w:b/>
          <w:bCs/>
        </w:rPr>
        <w:t xml:space="preserve">Investment income and equity-market exposure</w:t>
      </w:r>
    </w:p>
    <w:p>
      <w:pPr>
        <w:pStyle w:val="Compact"/>
        <w:numPr>
          <w:ilvl w:val="0"/>
          <w:numId w:val="1001"/>
        </w:numPr>
      </w:pPr>
      <w:r>
        <w:rPr>
          <w:b/>
          <w:bCs/>
        </w:rPr>
        <w:t xml:space="preserve">The pace of the $4 billion buyback</w:t>
      </w:r>
    </w:p>
    <w:p>
      <w:r>
        <w:pict>
          <v:rect style="width:0;height:1.5pt" o:hralign="center" o:hrstd="t" o:hr="t"/>
        </w:pict>
      </w:r>
    </w:p>
    <w:bookmarkEnd w:id="9"/>
    <w:bookmarkStart w:id="12" w:name="what-is-already-known"/>
    <w:p>
      <w:pPr>
        <w:pStyle w:val="Heading2"/>
      </w:pPr>
      <w:r>
        <w:t xml:space="preserve">What is already known</w:t>
      </w:r>
    </w:p>
    <w:bookmarkStart w:id="10" w:name="q2-catastrophe-losses-were-172-billion"/>
    <w:p>
      <w:pPr>
        <w:pStyle w:val="Heading3"/>
      </w:pPr>
      <w:r>
        <w:t xml:space="preserve">Q2 catastrophe losses were $1.72 billion</w:t>
      </w:r>
    </w:p>
    <w:p>
      <w:pPr>
        <w:pStyle w:val="FirstParagraph"/>
      </w:pPr>
      <w:r>
        <w:t xml:space="preserve">Allstate disclosed:</w:t>
      </w:r>
    </w:p>
    <w:p>
      <w:pPr>
        <w:pStyle w:val="Compact"/>
        <w:numPr>
          <w:ilvl w:val="0"/>
          <w:numId w:val="1002"/>
        </w:numPr>
      </w:pPr>
      <w:r>
        <w:rPr>
          <w:b/>
          <w:bCs/>
        </w:rPr>
        <w:t xml:space="preserve">June catastrophe losses:</w:t>
      </w:r>
      <w:r>
        <w:t xml:space="preserve"> </w:t>
      </w:r>
      <w:r>
        <w:t xml:space="preserve">$563 million pre-tax</w:t>
      </w:r>
    </w:p>
    <w:p>
      <w:pPr>
        <w:pStyle w:val="Compact"/>
        <w:numPr>
          <w:ilvl w:val="0"/>
          <w:numId w:val="1002"/>
        </w:numPr>
      </w:pPr>
      <w:r>
        <w:rPr>
          <w:b/>
          <w:bCs/>
        </w:rPr>
        <w:t xml:space="preserve">Q2 catastrophe losses:</w:t>
      </w:r>
      <w:r>
        <w:t xml:space="preserve"> </w:t>
      </w:r>
      <w:r>
        <w:rPr>
          <w:b/>
          <w:bCs/>
        </w:rPr>
        <w:t xml:space="preserve">$1.72 billion pre-tax</w:t>
      </w:r>
    </w:p>
    <w:p>
      <w:pPr>
        <w:pStyle w:val="Compact"/>
        <w:numPr>
          <w:ilvl w:val="0"/>
          <w:numId w:val="1002"/>
        </w:numPr>
      </w:pPr>
      <w:r>
        <w:rPr>
          <w:b/>
          <w:bCs/>
        </w:rPr>
        <w:t xml:space="preserve">Q2 catastrophe losses after tax:</w:t>
      </w:r>
      <w:r>
        <w:t xml:space="preserve"> </w:t>
      </w:r>
      <w:r>
        <w:rPr>
          <w:b/>
          <w:bCs/>
        </w:rPr>
        <w:t xml:space="preserve">$1.36 billion</w:t>
      </w:r>
    </w:p>
    <w:p>
      <w:pPr>
        <w:pStyle w:val="FirstParagraph"/>
      </w:pPr>
      <w:r>
        <w:t xml:space="preserve">The after-tax catastrophe figure represents approximately</w:t>
      </w:r>
      <w:r>
        <w:t xml:space="preserve"> </w:t>
      </w:r>
      <w:r>
        <w:rPr>
          <w:b/>
          <w:bCs/>
        </w:rPr>
        <w:t xml:space="preserve">$5.25 per diluted share</w:t>
      </w:r>
      <w:r>
        <w:t xml:space="preserve">, using a roughly 259 million share base. That is the principal known headwind to Q2 earnings.</w:t>
      </w:r>
    </w:p>
    <w:p>
      <w:pPr>
        <w:pStyle w:val="BodyText"/>
      </w:pPr>
      <w:r>
        <w:t xml:space="preserve">However, the comparison is relatively favorable. Q2 2025 catastrophe losses were</w:t>
      </w:r>
      <w:r>
        <w:t xml:space="preserve"> </w:t>
      </w:r>
      <m:oMath>
        <m:r>
          <m:t>1.99</m:t>
        </m:r>
        <m:r>
          <m:t>b</m:t>
        </m:r>
        <m:r>
          <m:t>i</m:t>
        </m:r>
        <m:r>
          <m:t>l</m:t>
        </m:r>
        <m:r>
          <m:t>l</m:t>
        </m:r>
        <m:r>
          <m:t>i</m:t>
        </m:r>
        <m:r>
          <m:t>o</m:t>
        </m:r>
        <m:r>
          <m:t>n</m:t>
        </m:r>
        <m:r>
          <m:rPr>
            <m:sty m:val="p"/>
          </m:rPr>
          <m:t>*</m:t>
        </m:r>
        <m:r>
          <m:rPr>
            <m:sty m:val="p"/>
          </m:rPr>
          <m:t>*</m:t>
        </m:r>
        <m:r>
          <m:rPr>
            <m:sty m:val="p"/>
          </m:rPr>
          <m:t>,</m:t>
        </m:r>
        <m:r>
          <m:t>s</m:t>
        </m:r>
        <m:r>
          <m:t>o</m:t>
        </m:r>
        <m:r>
          <m:t>t</m:t>
        </m:r>
        <m:r>
          <m:t>h</m:t>
        </m:r>
        <m:r>
          <m:t>i</m:t>
        </m:r>
        <m:r>
          <m:t>s</m:t>
        </m:r>
        <m:r>
          <m:t>q</m:t>
        </m:r>
        <m:r>
          <m:t>u</m:t>
        </m:r>
        <m:r>
          <m:t>a</m:t>
        </m:r>
        <m:r>
          <m:t>r</m:t>
        </m:r>
        <m:r>
          <m:t>t</m:t>
        </m:r>
        <m:r>
          <m:t>e</m:t>
        </m:r>
        <m:r>
          <m:t>r</m:t>
        </m:r>
        <m:r>
          <m:rPr>
            <m:sty m:val="p"/>
          </m:rPr>
          <m:t>’</m:t>
        </m:r>
        <m:r>
          <m:t>s</m:t>
        </m:r>
        <m:r>
          <m:t>l</m:t>
        </m:r>
        <m:r>
          <m:t>o</m:t>
        </m:r>
        <m:r>
          <m:t>s</m:t>
        </m:r>
        <m:r>
          <m:t>s</m:t>
        </m:r>
        <m:r>
          <m:t>e</m:t>
        </m:r>
        <m:r>
          <m:t>s</m:t>
        </m:r>
        <m:r>
          <m:t>a</m:t>
        </m:r>
        <m:r>
          <m:t>r</m:t>
        </m:r>
        <m:r>
          <m:t>e</m:t>
        </m:r>
        <m:r>
          <m:t>d</m:t>
        </m:r>
        <m:r>
          <m:t>o</m:t>
        </m:r>
        <m:r>
          <m:t>w</m:t>
        </m:r>
        <m:r>
          <m:t>n</m:t>
        </m:r>
        <m:r>
          <m:t>a</m:t>
        </m:r>
        <m:r>
          <m:t>b</m:t>
        </m:r>
        <m:r>
          <m:t>o</m:t>
        </m:r>
        <m:r>
          <m:t>u</m:t>
        </m:r>
        <m:r>
          <m:t>t</m:t>
        </m:r>
        <m:r>
          <m:rPr>
            <m:sty m:val="p"/>
          </m:rPr>
          <m:t>*</m:t>
        </m:r>
        <m:r>
          <m:rPr>
            <m:sty m:val="p"/>
          </m:rPr>
          <m:t>*</m:t>
        </m:r>
      </m:oMath>
      <w:r>
        <w:rPr>
          <w:b/>
          <w:bCs/>
        </w:rPr>
        <w:t xml:space="preserve">270 million</w:t>
      </w:r>
      <w:r>
        <w:t xml:space="preserve">, before considering premium growth. Assuming Property-Liability earned premiums rise around 5%, the catastrophe impact should be roughly</w:t>
      </w:r>
      <w:r>
        <w:t xml:space="preserve"> </w:t>
      </w:r>
      <w:r>
        <w:rPr>
          <w:b/>
          <w:bCs/>
        </w:rPr>
        <w:t xml:space="preserve">11–12 combined-ratio points</w:t>
      </w:r>
      <w:r>
        <w:t xml:space="preserve">, compared with</w:t>
      </w:r>
      <w:r>
        <w:t xml:space="preserve"> </w:t>
      </w:r>
      <w:r>
        <w:rPr>
          <w:b/>
          <w:bCs/>
        </w:rPr>
        <w:t xml:space="preserve">13.9 points</w:t>
      </w:r>
      <w:r>
        <w:t xml:space="preserve"> </w:t>
      </w:r>
      <w:r>
        <w:t xml:space="preserve">in Q2 2025.</w:t>
      </w:r>
    </w:p>
    <w:p>
      <w:pPr>
        <w:pStyle w:val="BodyText"/>
      </w:pPr>
      <w:r>
        <w:t xml:space="preserve">That suggests the reported combined ratio can still improve year over year, provided underlying loss trends remain sound.</w:t>
      </w:r>
    </w:p>
    <w:bookmarkEnd w:id="10"/>
    <w:bookmarkStart w:id="11" w:name="policy-growth-continued-through-may"/>
    <w:p>
      <w:pPr>
        <w:pStyle w:val="Heading3"/>
      </w:pPr>
      <w:r>
        <w:t xml:space="preserve">Policy growth continued through May</w:t>
      </w:r>
    </w:p>
    <w:p>
      <w:pPr>
        <w:pStyle w:val="FirstParagraph"/>
      </w:pPr>
      <w:r>
        <w:t xml:space="preserve">At May 31, Allstate Protection policies in force were: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May 2026</w:t>
            </w:r>
          </w:p>
        </w:tc>
        <w:tc>
          <w:tcPr/>
          <w:p>
            <w:pPr>
              <w:pStyle w:val="Compact"/>
              <w:jc w:val="right"/>
            </w:pPr>
            <w:r>
              <w:t xml:space="preserve">YoY growth</w:t>
            </w:r>
          </w:p>
        </w:tc>
      </w:tr>
      <w:tr>
        <w:tc>
          <w:tcPr/>
          <w:p>
            <w:pPr>
              <w:pStyle w:val="Compact"/>
            </w:pPr>
            <w:r>
              <w:t xml:space="preserve">Auto policies</w:t>
            </w:r>
          </w:p>
        </w:tc>
        <w:tc>
          <w:tcPr/>
          <w:p>
            <w:pPr>
              <w:pStyle w:val="Compact"/>
              <w:jc w:val="right"/>
            </w:pPr>
            <w:r>
              <w:t xml:space="preserve">25.9 million</w:t>
            </w:r>
          </w:p>
        </w:tc>
        <w:tc>
          <w:tcPr/>
          <w:p>
            <w:pPr>
              <w:pStyle w:val="Compact"/>
              <w:jc w:val="right"/>
            </w:pPr>
            <w:r>
              <w:rPr>
                <w:b/>
                <w:bCs/>
              </w:rPr>
              <w:t xml:space="preserve">2.7%</w:t>
            </w:r>
          </w:p>
        </w:tc>
      </w:tr>
      <w:tr>
        <w:tc>
          <w:tcPr/>
          <w:p>
            <w:pPr>
              <w:pStyle w:val="Compact"/>
            </w:pPr>
            <w:r>
              <w:t xml:space="preserve">Homeowners policies</w:t>
            </w:r>
          </w:p>
        </w:tc>
        <w:tc>
          <w:tcPr/>
          <w:p>
            <w:pPr>
              <w:pStyle w:val="Compact"/>
              <w:jc w:val="right"/>
            </w:pPr>
            <w:r>
              <w:t xml:space="preserve">7.8 million</w:t>
            </w:r>
          </w:p>
        </w:tc>
        <w:tc>
          <w:tcPr/>
          <w:p>
            <w:pPr>
              <w:pStyle w:val="Compact"/>
              <w:jc w:val="right"/>
            </w:pPr>
            <w:r>
              <w:rPr>
                <w:b/>
                <w:bCs/>
              </w:rPr>
              <w:t xml:space="preserve">2.6%</w:t>
            </w:r>
          </w:p>
        </w:tc>
      </w:tr>
      <w:tr>
        <w:tc>
          <w:tcPr/>
          <w:p>
            <w:pPr>
              <w:pStyle w:val="Compact"/>
            </w:pPr>
            <w:r>
              <w:t xml:space="preserve">Total Allstate Protection policies</w:t>
            </w:r>
          </w:p>
        </w:tc>
        <w:tc>
          <w:tcPr/>
          <w:p>
            <w:pPr>
              <w:pStyle w:val="Compact"/>
              <w:jc w:val="right"/>
            </w:pPr>
            <w:r>
              <w:t xml:space="preserve">38.8 million</w:t>
            </w:r>
          </w:p>
        </w:tc>
        <w:tc>
          <w:tcPr/>
          <w:p>
            <w:pPr>
              <w:pStyle w:val="Compact"/>
              <w:jc w:val="right"/>
            </w:pPr>
            <w:r>
              <w:rPr>
                <w:b/>
                <w:bCs/>
              </w:rPr>
              <w:t xml:space="preserve">2.4%</w:t>
            </w:r>
          </w:p>
        </w:tc>
      </w:tr>
    </w:tbl>
    <w:p>
      <w:pPr>
        <w:pStyle w:val="BodyText"/>
      </w:pPr>
      <w:r>
        <w:t xml:space="preserve">Sequential growth was also positive in April and May. The report will reveal whether this momentum continued through June and whether increased new business is translating into sustained net policy growth rather than higher churn.</w:t>
      </w:r>
    </w:p>
    <w:p>
      <w:r>
        <w:pict>
          <v:rect style="width:0;height:1.5pt" o:hralign="center" o:hrstd="t" o:hr="t"/>
        </w:pict>
      </w:r>
    </w:p>
    <w:bookmarkEnd w:id="11"/>
    <w:bookmarkEnd w:id="12"/>
    <w:bookmarkStart w:id="14" w:name="X53e800e579f28dc6b6d19bffc509a04fa4f3150"/>
    <w:p>
      <w:pPr>
        <w:pStyle w:val="Heading2"/>
      </w:pPr>
      <w:r>
        <w:t xml:space="preserve">The key debate: How durable are auto margins?</w:t>
      </w:r>
    </w:p>
    <w:p>
      <w:pPr>
        <w:pStyle w:val="FirstParagraph"/>
      </w:pPr>
      <w:r>
        <w:t xml:space="preserve">Auto remains the most important underlying earnings driver.</w:t>
      </w:r>
    </w:p>
    <w:p>
      <w:pPr>
        <w:pStyle w:val="BodyText"/>
      </w:pPr>
      <w:r>
        <w:t xml:space="preserve">In Q1:</w:t>
      </w:r>
    </w:p>
    <w:p>
      <w:pPr>
        <w:pStyle w:val="Compact"/>
        <w:numPr>
          <w:ilvl w:val="0"/>
          <w:numId w:val="1003"/>
        </w:numPr>
      </w:pPr>
      <w:r>
        <w:t xml:space="preserve">Auto earned premiums increased</w:t>
      </w:r>
      <w:r>
        <w:t xml:space="preserve"> </w:t>
      </w:r>
      <w:r>
        <w:rPr>
          <w:b/>
          <w:bCs/>
        </w:rPr>
        <w:t xml:space="preserve">2.1%</w:t>
      </w:r>
    </w:p>
    <w:p>
      <w:pPr>
        <w:pStyle w:val="Compact"/>
        <w:numPr>
          <w:ilvl w:val="0"/>
          <w:numId w:val="1003"/>
        </w:numPr>
      </w:pPr>
      <w:r>
        <w:t xml:space="preserve">Policies in force increased</w:t>
      </w:r>
      <w:r>
        <w:t xml:space="preserve"> </w:t>
      </w:r>
      <w:r>
        <w:rPr>
          <w:b/>
          <w:bCs/>
        </w:rPr>
        <w:t xml:space="preserve">2.6%</w:t>
      </w:r>
    </w:p>
    <w:p>
      <w:pPr>
        <w:pStyle w:val="Compact"/>
        <w:numPr>
          <w:ilvl w:val="0"/>
          <w:numId w:val="1003"/>
        </w:numPr>
      </w:pPr>
      <w:r>
        <w:t xml:space="preserve">New issued applications increased</w:t>
      </w:r>
      <w:r>
        <w:t xml:space="preserve"> </w:t>
      </w:r>
      <w:r>
        <w:rPr>
          <w:b/>
          <w:bCs/>
        </w:rPr>
        <w:t xml:space="preserve">9.4%</w:t>
      </w:r>
    </w:p>
    <w:p>
      <w:pPr>
        <w:pStyle w:val="Compact"/>
        <w:numPr>
          <w:ilvl w:val="0"/>
          <w:numId w:val="1003"/>
        </w:numPr>
      </w:pPr>
      <w:r>
        <w:t xml:space="preserve">The auto underlying combined ratio improved to</w:t>
      </w:r>
      <w:r>
        <w:t xml:space="preserve"> </w:t>
      </w:r>
      <w:r>
        <w:rPr>
          <w:b/>
          <w:bCs/>
        </w:rPr>
        <w:t xml:space="preserve">89.5</w:t>
      </w:r>
    </w:p>
    <w:p>
      <w:pPr>
        <w:pStyle w:val="Compact"/>
        <w:numPr>
          <w:ilvl w:val="0"/>
          <w:numId w:val="1003"/>
        </w:numPr>
      </w:pPr>
      <w:r>
        <w:t xml:space="preserve">Underlying incurred loss per policy declined</w:t>
      </w:r>
      <w:r>
        <w:t xml:space="preserve"> </w:t>
      </w:r>
      <w:r>
        <w:rPr>
          <w:b/>
          <w:bCs/>
        </w:rPr>
        <w:t xml:space="preserve">2.0%</w:t>
      </w:r>
    </w:p>
    <w:p>
      <w:pPr>
        <w:pStyle w:val="Compact"/>
        <w:numPr>
          <w:ilvl w:val="0"/>
          <w:numId w:val="1003"/>
        </w:numPr>
      </w:pPr>
      <w:r>
        <w:t xml:space="preserve">The reported auto combined ratio was</w:t>
      </w:r>
      <w:r>
        <w:t xml:space="preserve"> </w:t>
      </w:r>
      <w:r>
        <w:rPr>
          <w:b/>
          <w:bCs/>
        </w:rPr>
        <w:t xml:space="preserve">81.9</w:t>
      </w:r>
      <w:r>
        <w:t xml:space="preserve">, helped by reserve releases</w:t>
      </w:r>
    </w:p>
    <w:p>
      <w:pPr>
        <w:pStyle w:val="FirstParagraph"/>
      </w:pPr>
      <w:r>
        <w:t xml:space="preserve">Management’s long-term auto target is a combined ratio in the</w:t>
      </w:r>
      <w:r>
        <w:t xml:space="preserve"> </w:t>
      </w:r>
      <w:r>
        <w:rPr>
          <w:b/>
          <w:bCs/>
        </w:rPr>
        <w:t xml:space="preserve">mid-90s</w:t>
      </w:r>
      <w:r>
        <w:t xml:space="preserve">. Current underlying profitability is therefore substantially better than target, giving Allstate room to lower prices or invest in acquisition while still earning attractive returns.</w:t>
      </w:r>
    </w:p>
    <w:p>
      <w:pPr>
        <w:pStyle w:val="BodyText"/>
      </w:pPr>
      <w:r>
        <w:t xml:space="preserve">That creates both the opportunity and the risk going into Q2:</w:t>
      </w:r>
    </w:p>
    <w:p>
      <w:pPr>
        <w:pStyle w:val="Compact"/>
        <w:numPr>
          <w:ilvl w:val="0"/>
          <w:numId w:val="1004"/>
        </w:numPr>
      </w:pPr>
      <w:r>
        <w:rPr>
          <w:b/>
          <w:bCs/>
        </w:rPr>
        <w:t xml:space="preserve">Bull case:</w:t>
      </w:r>
      <w:r>
        <w:t xml:space="preserve"> </w:t>
      </w:r>
      <w:r>
        <w:t xml:space="preserve">Allstate is using surplus margin intelligently to accelerate growth, with better segmentation and lower-cost products allowing it to gain share without sacrificing returns.</w:t>
      </w:r>
    </w:p>
    <w:p>
      <w:pPr>
        <w:pStyle w:val="Compact"/>
        <w:numPr>
          <w:ilvl w:val="0"/>
          <w:numId w:val="1004"/>
        </w:numPr>
      </w:pPr>
      <w:r>
        <w:rPr>
          <w:b/>
          <w:bCs/>
        </w:rPr>
        <w:t xml:space="preserve">Bear case:</w:t>
      </w:r>
      <w:r>
        <w:t xml:space="preserve"> </w:t>
      </w:r>
      <w:r>
        <w:t xml:space="preserve">Q1 represented peak margins, and lower prices plus rising severity will cause profitability to normalize faster than expected.</w:t>
      </w:r>
    </w:p>
    <w:bookmarkStart w:id="13" w:name="what-to-watch"/>
    <w:p>
      <w:pPr>
        <w:pStyle w:val="Heading3"/>
      </w:pPr>
      <w:r>
        <w:t xml:space="preserve">What to watch</w:t>
      </w:r>
    </w:p>
    <w:p>
      <w:pPr>
        <w:pStyle w:val="Compact"/>
        <w:numPr>
          <w:ilvl w:val="0"/>
          <w:numId w:val="1005"/>
        </w:numPr>
      </w:pPr>
      <w:r>
        <w:rPr>
          <w:b/>
          <w:bCs/>
        </w:rPr>
        <w:t xml:space="preserve">Auto underlying combined ratio:</w:t>
      </w:r>
      <w:r>
        <w:t xml:space="preserve"> </w:t>
      </w:r>
      <w:r>
        <w:t xml:space="preserve">A result around 90 would be strong evidence that the margin remains durable. Movement above 92 would raise questions about the pace of normalization.</w:t>
      </w:r>
    </w:p>
    <w:p>
      <w:pPr>
        <w:pStyle w:val="Compact"/>
        <w:numPr>
          <w:ilvl w:val="0"/>
          <w:numId w:val="1005"/>
        </w:numPr>
      </w:pPr>
      <w:r>
        <w:rPr>
          <w:b/>
          <w:bCs/>
        </w:rPr>
        <w:t xml:space="preserve">Frequency and severity:</w:t>
      </w:r>
      <w:r>
        <w:t xml:space="preserve"> </w:t>
      </w:r>
      <w:r>
        <w:t xml:space="preserve">Q1 severity increased in major coverages because of repair costs, total-loss mix, medical inflation, and attorney representation.</w:t>
      </w:r>
    </w:p>
    <w:p>
      <w:pPr>
        <w:pStyle w:val="Compact"/>
        <w:numPr>
          <w:ilvl w:val="0"/>
          <w:numId w:val="1005"/>
        </w:numPr>
      </w:pPr>
      <w:r>
        <w:rPr>
          <w:b/>
          <w:bCs/>
        </w:rPr>
        <w:t xml:space="preserve">Rate activity:</w:t>
      </w:r>
      <w:r>
        <w:t xml:space="preserve"> </w:t>
      </w:r>
      <w:r>
        <w:t xml:space="preserve">Q1 auto rate changes were neutral in aggregate, with decreases in 23 states and increases in 16. Investors should watch whether Q2 moved more decisively toward price reductions.</w:t>
      </w:r>
    </w:p>
    <w:p>
      <w:pPr>
        <w:pStyle w:val="Compact"/>
        <w:numPr>
          <w:ilvl w:val="0"/>
          <w:numId w:val="1005"/>
        </w:numPr>
      </w:pPr>
      <w:r>
        <w:rPr>
          <w:b/>
          <w:bCs/>
        </w:rPr>
        <w:t xml:space="preserve">New-business economics:</w:t>
      </w:r>
      <w:r>
        <w:t xml:space="preserve"> </w:t>
      </w:r>
      <w:r>
        <w:t xml:space="preserve">Management said acquisition economics had improved and new applications reached a record in Q1.</w:t>
      </w:r>
    </w:p>
    <w:p>
      <w:pPr>
        <w:pStyle w:val="Compact"/>
        <w:numPr>
          <w:ilvl w:val="0"/>
          <w:numId w:val="1005"/>
        </w:numPr>
      </w:pPr>
      <w:r>
        <w:rPr>
          <w:b/>
          <w:bCs/>
        </w:rPr>
        <w:t xml:space="preserve">Average premium:</w:t>
      </w:r>
      <w:r>
        <w:t xml:space="preserve"> </w:t>
      </w:r>
      <w:r>
        <w:t xml:space="preserve">Q1 Allstate-brand auto average written premium declined 2.5% year over year, partly reflecting a mix shift toward newer, more affordable products.</w:t>
      </w:r>
    </w:p>
    <w:p>
      <w:pPr>
        <w:pStyle w:val="FirstParagraph"/>
      </w:pPr>
      <w:r>
        <w:t xml:space="preserve">The ideal outcome is continued policy growth near 3%, an underlying auto ratio around 90, and no material acceleration in severity.</w:t>
      </w:r>
    </w:p>
    <w:p>
      <w:r>
        <w:pict>
          <v:rect style="width:0;height:1.5pt" o:hralign="center" o:hrstd="t" o:hr="t"/>
        </w:pict>
      </w:r>
    </w:p>
    <w:bookmarkEnd w:id="13"/>
    <w:bookmarkEnd w:id="14"/>
    <w:bookmarkStart w:id="16" w:name="X414314cab1f7b9cec61046fcd7c27c93ab145fc"/>
    <w:p>
      <w:pPr>
        <w:pStyle w:val="Heading2"/>
      </w:pPr>
      <w:r>
        <w:t xml:space="preserve">Reserve releases may determine the headline result</w:t>
      </w:r>
    </w:p>
    <w:p>
      <w:pPr>
        <w:pStyle w:val="FirstParagraph"/>
      </w:pPr>
      <w:r>
        <w:t xml:space="preserve">Q1 included approximately</w:t>
      </w:r>
      <w:r>
        <w:t xml:space="preserve"> </w:t>
      </w:r>
      <m:oMath>
        <m:r>
          <m:t>1.00</m:t>
        </m:r>
        <m:r>
          <m:t>b</m:t>
        </m:r>
        <m:r>
          <m:t>i</m:t>
        </m:r>
        <m:r>
          <m:t>l</m:t>
        </m:r>
        <m:r>
          <m:t>l</m:t>
        </m:r>
        <m:r>
          <m:t>i</m:t>
        </m:r>
        <m:r>
          <m:t>o</m:t>
        </m:r>
        <m:r>
          <m:t>n</m:t>
        </m:r>
        <m:r>
          <m:t>o</m:t>
        </m:r>
        <m:r>
          <m:t>f</m:t>
        </m:r>
        <m:r>
          <m:t>f</m:t>
        </m:r>
        <m:r>
          <m:t>a</m:t>
        </m:r>
        <m:r>
          <m:t>v</m:t>
        </m:r>
        <m:r>
          <m:t>o</m:t>
        </m:r>
        <m:r>
          <m:t>r</m:t>
        </m:r>
        <m:r>
          <m:t>a</m:t>
        </m:r>
        <m:r>
          <m:t>b</m:t>
        </m:r>
        <m:r>
          <m:t>l</m:t>
        </m:r>
        <m:r>
          <m:t>e</m:t>
        </m:r>
        <m:r>
          <m:t>p</m:t>
        </m:r>
        <m:r>
          <m:t>r</m:t>
        </m:r>
        <m:r>
          <m:t>i</m:t>
        </m:r>
        <m:r>
          <m:t>o</m:t>
        </m:r>
        <m:r>
          <m:t>r</m:t>
        </m:r>
        <m:r>
          <m:rPr>
            <m:sty m:val="p"/>
          </m:rPr>
          <m:t>−</m:t>
        </m:r>
        <m:r>
          <m:t>y</m:t>
        </m:r>
        <m:r>
          <m:t>e</m:t>
        </m:r>
        <m:r>
          <m:t>a</m:t>
        </m:r>
        <m:r>
          <m:t>r</m:t>
        </m:r>
        <m:r>
          <m:t>r</m:t>
        </m:r>
        <m:r>
          <m:t>e</m:t>
        </m:r>
        <m:r>
          <m:t>s</m:t>
        </m:r>
        <m:r>
          <m:t>e</m:t>
        </m:r>
        <m:r>
          <m:t>r</m:t>
        </m:r>
        <m:r>
          <m:t>v</m:t>
        </m:r>
        <m:r>
          <m:t>e</m:t>
        </m:r>
        <m:r>
          <m:t>d</m:t>
        </m:r>
        <m:r>
          <m:t>e</m:t>
        </m:r>
        <m:r>
          <m:t>v</m:t>
        </m:r>
        <m:r>
          <m:t>e</m:t>
        </m:r>
        <m:r>
          <m:t>l</m:t>
        </m:r>
        <m:r>
          <m:t>o</m:t>
        </m:r>
        <m:r>
          <m:t>p</m:t>
        </m:r>
        <m:r>
          <m:t>m</m:t>
        </m:r>
        <m:r>
          <m:t>e</m:t>
        </m:r>
        <m:r>
          <m:t>n</m:t>
        </m:r>
        <m:r>
          <m:t>t</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840 million from auto</w:t>
      </w:r>
      <w:r>
        <w:t xml:space="preserve">. About 70% of the auto injury releases related to accident years 2023 and 2024.</w:t>
      </w:r>
    </w:p>
    <w:p>
      <w:pPr>
        <w:pStyle w:val="BodyText"/>
      </w:pPr>
      <w:r>
        <w:t xml:space="preserve">The releases reflected better-than-expected claim settlements, particularly in injury coverages. Management emphasized that it applies consistent reserving standards rather than deliberately building in future releases.</w:t>
      </w:r>
    </w:p>
    <w:p>
      <w:pPr>
        <w:pStyle w:val="BodyText"/>
      </w:pPr>
      <w:r>
        <w:t xml:space="preserve">This will be one of the most consequential Q2 disclosures.</w:t>
      </w:r>
    </w:p>
    <w:bookmarkStart w:id="15" w:name="why-it-matters"/>
    <w:p>
      <w:pPr>
        <w:pStyle w:val="Heading3"/>
      </w:pPr>
      <w:r>
        <w:t xml:space="preserve">Why it matters</w:t>
      </w:r>
    </w:p>
    <w:p>
      <w:pPr>
        <w:pStyle w:val="FirstParagraph"/>
      </w:pPr>
      <w:r>
        <w:t xml:space="preserve">Large reserve releases are economically valuable, but investors may place a lower multiple on earnings if they perceive them as non-recurring. The highest-quality result would therefore be one in which:</w:t>
      </w:r>
    </w:p>
    <w:p>
      <w:pPr>
        <w:pStyle w:val="Compact"/>
        <w:numPr>
          <w:ilvl w:val="0"/>
          <w:numId w:val="1006"/>
        </w:numPr>
      </w:pPr>
      <w:r>
        <w:t xml:space="preserve">Underlying accident-year margins remain strong;</w:t>
      </w:r>
    </w:p>
    <w:p>
      <w:pPr>
        <w:pStyle w:val="Compact"/>
        <w:numPr>
          <w:ilvl w:val="0"/>
          <w:numId w:val="1006"/>
        </w:numPr>
      </w:pPr>
      <w:r>
        <w:t xml:space="preserve">Reserve development is still favorable but smaller than Q1;</w:t>
      </w:r>
    </w:p>
    <w:p>
      <w:pPr>
        <w:pStyle w:val="Compact"/>
        <w:numPr>
          <w:ilvl w:val="0"/>
          <w:numId w:val="1006"/>
        </w:numPr>
      </w:pPr>
      <w:r>
        <w:t xml:space="preserve">Management expresses confidence in recent accident-year reserves; and</w:t>
      </w:r>
    </w:p>
    <w:p>
      <w:pPr>
        <w:pStyle w:val="Compact"/>
        <w:numPr>
          <w:ilvl w:val="0"/>
          <w:numId w:val="1006"/>
        </w:numPr>
      </w:pPr>
      <w:r>
        <w:t xml:space="preserve">Current loss trends support sustained profitability without further outsized releases.</w:t>
      </w:r>
    </w:p>
    <w:p>
      <w:pPr>
        <w:pStyle w:val="FirstParagraph"/>
      </w:pPr>
      <w:r>
        <w:t xml:space="preserve">Another release approaching Q1’s size would lift earnings but might intensify questions over how much of current profitability is repeatable. Conversely, little or no release would reduce headline earnings materially even if the underlying business performed well.</w:t>
      </w:r>
    </w:p>
    <w:p>
      <w:r>
        <w:pict>
          <v:rect style="width:0;height:1.5pt" o:hralign="center" o:hrstd="t" o:hr="t"/>
        </w:pict>
      </w:r>
    </w:p>
    <w:bookmarkEnd w:id="15"/>
    <w:bookmarkEnd w:id="16"/>
    <w:bookmarkStart w:id="18" w:name="X269fea1bab159f27d8ccd94a445fc18f3cdf062"/>
    <w:p>
      <w:pPr>
        <w:pStyle w:val="Heading2"/>
      </w:pPr>
      <w:r>
        <w:t xml:space="preserve">Homeowners: Strong underlying business, volatile reported results</w:t>
      </w:r>
    </w:p>
    <w:p>
      <w:pPr>
        <w:pStyle w:val="FirstParagraph"/>
      </w:pPr>
      <w:r>
        <w:t xml:space="preserve">Homeowners has become an increasingly important growth engine.</w:t>
      </w:r>
    </w:p>
    <w:p>
      <w:pPr>
        <w:pStyle w:val="BodyText"/>
      </w:pPr>
      <w:r>
        <w:t xml:space="preserve">In Q1:</w:t>
      </w:r>
    </w:p>
    <w:p>
      <w:pPr>
        <w:pStyle w:val="Compact"/>
        <w:numPr>
          <w:ilvl w:val="0"/>
          <w:numId w:val="1007"/>
        </w:numPr>
      </w:pPr>
      <w:r>
        <w:t xml:space="preserve">Policies in force increased</w:t>
      </w:r>
      <w:r>
        <w:t xml:space="preserve"> </w:t>
      </w:r>
      <w:r>
        <w:rPr>
          <w:b/>
          <w:bCs/>
        </w:rPr>
        <w:t xml:space="preserve">2.5%</w:t>
      </w:r>
    </w:p>
    <w:p>
      <w:pPr>
        <w:pStyle w:val="Compact"/>
        <w:numPr>
          <w:ilvl w:val="0"/>
          <w:numId w:val="1007"/>
        </w:numPr>
      </w:pPr>
      <w:r>
        <w:t xml:space="preserve">New issued applications increased</w:t>
      </w:r>
      <w:r>
        <w:t xml:space="preserve"> </w:t>
      </w:r>
      <w:r>
        <w:rPr>
          <w:b/>
          <w:bCs/>
        </w:rPr>
        <w:t xml:space="preserve">11.9%</w:t>
      </w:r>
    </w:p>
    <w:p>
      <w:pPr>
        <w:pStyle w:val="Compact"/>
        <w:numPr>
          <w:ilvl w:val="0"/>
          <w:numId w:val="1007"/>
        </w:numPr>
      </w:pPr>
      <w:r>
        <w:t xml:space="preserve">Earned premiums increased</w:t>
      </w:r>
      <w:r>
        <w:t xml:space="preserve"> </w:t>
      </w:r>
      <w:r>
        <w:rPr>
          <w:b/>
          <w:bCs/>
        </w:rPr>
        <w:t xml:space="preserve">13.9%</w:t>
      </w:r>
    </w:p>
    <w:p>
      <w:pPr>
        <w:pStyle w:val="Compact"/>
        <w:numPr>
          <w:ilvl w:val="0"/>
          <w:numId w:val="1007"/>
        </w:numPr>
      </w:pPr>
      <w:r>
        <w:t xml:space="preserve">Average written premium increased</w:t>
      </w:r>
      <w:r>
        <w:t xml:space="preserve"> </w:t>
      </w:r>
      <w:r>
        <w:rPr>
          <w:b/>
          <w:bCs/>
        </w:rPr>
        <w:t xml:space="preserve">6.8%</w:t>
      </w:r>
    </w:p>
    <w:p>
      <w:pPr>
        <w:pStyle w:val="Compact"/>
        <w:numPr>
          <w:ilvl w:val="0"/>
          <w:numId w:val="1007"/>
        </w:numPr>
      </w:pPr>
      <w:r>
        <w:t xml:space="preserve">The underlying combined ratio was</w:t>
      </w:r>
      <w:r>
        <w:t xml:space="preserve"> </w:t>
      </w:r>
      <w:r>
        <w:rPr>
          <w:b/>
          <w:bCs/>
        </w:rPr>
        <w:t xml:space="preserve">60.5</w:t>
      </w:r>
    </w:p>
    <w:p>
      <w:pPr>
        <w:pStyle w:val="Compact"/>
        <w:numPr>
          <w:ilvl w:val="0"/>
          <w:numId w:val="1007"/>
        </w:numPr>
      </w:pPr>
      <w:r>
        <w:t xml:space="preserve">The reported combined ratio was</w:t>
      </w:r>
      <w:r>
        <w:t xml:space="preserve"> </w:t>
      </w:r>
      <w:r>
        <w:rPr>
          <w:b/>
          <w:bCs/>
        </w:rPr>
        <w:t xml:space="preserve">83.5</w:t>
      </w:r>
    </w:p>
    <w:p>
      <w:pPr>
        <w:pStyle w:val="FirstParagraph"/>
      </w:pPr>
      <w:r>
        <w:t xml:space="preserve">Q2 will look materially worse sequentially because of catastrophe losses, but the relevant comparisons are year over year and versus normalized expectations.</w:t>
      </w:r>
    </w:p>
    <w:bookmarkStart w:id="17" w:name="what-investors-should-focus-on"/>
    <w:p>
      <w:pPr>
        <w:pStyle w:val="Heading3"/>
      </w:pPr>
      <w:r>
        <w:t xml:space="preserve">What investors should focus on</w:t>
      </w:r>
    </w:p>
    <w:p>
      <w:pPr>
        <w:pStyle w:val="Compact"/>
        <w:numPr>
          <w:ilvl w:val="0"/>
          <w:numId w:val="1008"/>
        </w:numPr>
      </w:pPr>
      <w:r>
        <w:rPr>
          <w:b/>
          <w:bCs/>
        </w:rPr>
        <w:t xml:space="preserve">Underlying homeowners combined ratio:</w:t>
      </w:r>
      <w:r>
        <w:t xml:space="preserve"> </w:t>
      </w:r>
      <w:r>
        <w:t xml:space="preserve">A result in the low 60s would confirm excellent core profitability.</w:t>
      </w:r>
    </w:p>
    <w:p>
      <w:pPr>
        <w:pStyle w:val="Compact"/>
        <w:numPr>
          <w:ilvl w:val="0"/>
          <w:numId w:val="1008"/>
        </w:numPr>
      </w:pPr>
      <w:r>
        <w:rPr>
          <w:b/>
          <w:bCs/>
        </w:rPr>
        <w:t xml:space="preserve">Premium growth versus loss-cost inflation:</w:t>
      </w:r>
      <w:r>
        <w:t xml:space="preserve"> </w:t>
      </w:r>
      <w:r>
        <w:t xml:space="preserve">Homeowners pricing needs to absorb higher labor, materials, and replacement costs.</w:t>
      </w:r>
    </w:p>
    <w:p>
      <w:pPr>
        <w:pStyle w:val="Compact"/>
        <w:numPr>
          <w:ilvl w:val="0"/>
          <w:numId w:val="1008"/>
        </w:numPr>
      </w:pPr>
      <w:r>
        <w:rPr>
          <w:b/>
          <w:bCs/>
        </w:rPr>
        <w:t xml:space="preserve">Policy growth:</w:t>
      </w:r>
      <w:r>
        <w:t xml:space="preserve"> </w:t>
      </w:r>
      <w:r>
        <w:t xml:space="preserve">Allstate believes homeowners is an underappreciated share-gain opportunity, particularly where competitors are restricting capacity.</w:t>
      </w:r>
    </w:p>
    <w:p>
      <w:pPr>
        <w:pStyle w:val="Compact"/>
        <w:numPr>
          <w:ilvl w:val="0"/>
          <w:numId w:val="1008"/>
        </w:numPr>
      </w:pPr>
      <w:r>
        <w:rPr>
          <w:b/>
          <w:bCs/>
        </w:rPr>
        <w:t xml:space="preserve">Reinsurance expense:</w:t>
      </w:r>
      <w:r>
        <w:t xml:space="preserve"> </w:t>
      </w:r>
      <w:r>
        <w:t xml:space="preserve">The cost of Allstate’s catastrophe program increased in Q1, with roughly 83% of the premium impact allocated to homeowners.</w:t>
      </w:r>
    </w:p>
    <w:p>
      <w:pPr>
        <w:pStyle w:val="Compact"/>
        <w:numPr>
          <w:ilvl w:val="0"/>
          <w:numId w:val="1008"/>
        </w:numPr>
      </w:pPr>
      <w:r>
        <w:rPr>
          <w:b/>
          <w:bCs/>
        </w:rPr>
        <w:t xml:space="preserve">State-level exposure:</w:t>
      </w:r>
      <w:r>
        <w:t xml:space="preserve"> </w:t>
      </w:r>
      <w:r>
        <w:t xml:space="preserve">Florida remains restricted, while California continues to require regulatory reform before Allstate is likely to pursue meaningful growth.</w:t>
      </w:r>
    </w:p>
    <w:p>
      <w:pPr>
        <w:pStyle w:val="FirstParagraph"/>
      </w:pPr>
      <w:r>
        <w:t xml:space="preserve">Allstate’s expanded nationwide catastrophe program substantially limits tail risk, with per-occurrence protection extending above a $1 billion retention. That improves capital resilience, although the higher recurring reinsurance expense weighs on ordinary underwriting margins.</w:t>
      </w:r>
    </w:p>
    <w:p>
      <w:r>
        <w:pict>
          <v:rect style="width:0;height:1.5pt" o:hralign="center" o:hrstd="t" o:hr="t"/>
        </w:pict>
      </w:r>
    </w:p>
    <w:bookmarkEnd w:id="17"/>
    <w:bookmarkEnd w:id="18"/>
    <w:bookmarkStart w:id="19" w:name="Xc47f6b05d7190f2f1f8a6d7f435ffb0d60f7fea"/>
    <w:p>
      <w:pPr>
        <w:pStyle w:val="Heading2"/>
      </w:pPr>
      <w:r>
        <w:t xml:space="preserve">Investment income should remain an important offset</w:t>
      </w:r>
    </w:p>
    <w:p>
      <w:pPr>
        <w:pStyle w:val="FirstParagraph"/>
      </w:pPr>
      <w:r>
        <w:t xml:space="preserve">Net investment income reached</w:t>
      </w:r>
      <w:r>
        <w:t xml:space="preserve"> </w:t>
      </w:r>
      <w:r>
        <w:rPr>
          <w:b/>
          <w:bCs/>
        </w:rPr>
        <w:t xml:space="preserve">$938 million in Q1</w:t>
      </w:r>
      <w:r>
        <w:t xml:space="preserve">, up 9.8% year over year, as the portfolio grew to $85.2 billion and fixed-income yields improved.</w:t>
      </w:r>
    </w:p>
    <w:p>
      <w:pPr>
        <w:pStyle w:val="BodyText"/>
      </w:pPr>
      <w:r>
        <w:t xml:space="preserve">A quarterly result near or above</w:t>
      </w:r>
      <w:r>
        <w:t xml:space="preserve"> </w:t>
      </w:r>
      <w:r>
        <w:rPr>
          <w:b/>
          <w:bCs/>
        </w:rPr>
        <w:t xml:space="preserve">$1 billion</w:t>
      </w:r>
      <w:r>
        <w:t xml:space="preserve"> </w:t>
      </w:r>
      <w:r>
        <w:t xml:space="preserve">would provide meaningful support against catastrophe losses.</w:t>
      </w:r>
    </w:p>
    <w:p>
      <w:pPr>
        <w:pStyle w:val="BodyText"/>
      </w:pPr>
      <w:r>
        <w:t xml:space="preserve">Investors should separate recurring investment income from mark-to-market volatility. Allstate increased equity securities to</w:t>
      </w:r>
      <w:r>
        <w:t xml:space="preserve"> </w:t>
      </w:r>
      <w:r>
        <w:rPr>
          <w:b/>
          <w:bCs/>
        </w:rPr>
        <w:t xml:space="preserve">$10.4 billion at March 31</w:t>
      </w:r>
      <w:r>
        <w:t xml:space="preserve">, from</w:t>
      </w:r>
      <w:r>
        <w:t xml:space="preserve"> </w:t>
      </w:r>
      <m:oMath>
        <m:r>
          <m:t>8.4</m:t>
        </m:r>
        <m:r>
          <m:t>b</m:t>
        </m:r>
        <m:r>
          <m:t>i</m:t>
        </m:r>
        <m:r>
          <m:t>l</m:t>
        </m:r>
        <m:r>
          <m:t>l</m:t>
        </m:r>
        <m:r>
          <m:t>i</m:t>
        </m:r>
        <m:r>
          <m:t>o</m:t>
        </m:r>
        <m:r>
          <m:t>n</m:t>
        </m:r>
        <m:r>
          <m:t>a</m:t>
        </m:r>
        <m:r>
          <m:t>t</m:t>
        </m:r>
        <m:r>
          <m:t>y</m:t>
        </m:r>
        <m:r>
          <m:t>e</m:t>
        </m:r>
        <m:r>
          <m:t>a</m:t>
        </m:r>
        <m:r>
          <m:t>r</m:t>
        </m:r>
        <m:r>
          <m:rPr>
            <m:sty m:val="p"/>
          </m:rPr>
          <m:t>−</m:t>
        </m:r>
        <m:r>
          <m:t>e</m:t>
        </m:r>
        <m:r>
          <m:t>n</m:t>
        </m:r>
        <m:r>
          <m:t>d</m:t>
        </m:r>
        <m:r>
          <m:rPr>
            <m:sty m:val="p"/>
          </m:rPr>
          <m:t>,</m:t>
        </m:r>
        <m:r>
          <m:t>a</m:t>
        </m:r>
        <m:r>
          <m:t>n</m:t>
        </m:r>
        <m:r>
          <m:t>d</m:t>
        </m:r>
        <m:r>
          <m:t>r</m:t>
        </m:r>
        <m:r>
          <m:t>e</m:t>
        </m:r>
        <m:r>
          <m:t>c</m:t>
        </m:r>
        <m:r>
          <m:t>o</m:t>
        </m:r>
        <m:r>
          <m:t>r</m:t>
        </m:r>
        <m:r>
          <m:t>d</m:t>
        </m:r>
        <m:r>
          <m:t>e</m:t>
        </m:r>
        <m:r>
          <m:t>d</m:t>
        </m:r>
        <m:r>
          <m:rPr>
            <m:sty m:val="p"/>
          </m:rPr>
          <m:t>*</m:t>
        </m:r>
        <m:r>
          <m:rPr>
            <m:sty m:val="p"/>
          </m:rPr>
          <m:t>*</m:t>
        </m:r>
      </m:oMath>
      <w:r>
        <w:t xml:space="preserve">405 million of pre-tax investment and derivative losses** in Q1, largely from equity valuations. Those gains and losses are excluded from adjusted earnings but affect GAAP income and book value.</w:t>
      </w:r>
    </w:p>
    <w:p>
      <w:pPr>
        <w:pStyle w:val="BodyText"/>
      </w:pPr>
      <w:r>
        <w:t xml:space="preserve">Key questions include:</w:t>
      </w:r>
    </w:p>
    <w:p>
      <w:pPr>
        <w:pStyle w:val="Compact"/>
        <w:numPr>
          <w:ilvl w:val="0"/>
          <w:numId w:val="1009"/>
        </w:numPr>
      </w:pPr>
      <w:r>
        <w:t xml:space="preserve">Did Allstate continue increasing public-equity exposure?</w:t>
      </w:r>
    </w:p>
    <w:p>
      <w:pPr>
        <w:pStyle w:val="Compact"/>
        <w:numPr>
          <w:ilvl w:val="0"/>
          <w:numId w:val="1009"/>
        </w:numPr>
      </w:pPr>
      <w:r>
        <w:t xml:space="preserve">How did the portfolio perform during Q2 market volatility?</w:t>
      </w:r>
    </w:p>
    <w:p>
      <w:pPr>
        <w:pStyle w:val="Compact"/>
        <w:numPr>
          <w:ilvl w:val="0"/>
          <w:numId w:val="1009"/>
        </w:numPr>
      </w:pPr>
      <w:r>
        <w:t xml:space="preserve">Did higher fixed-income balances and yields lift recurring income?</w:t>
      </w:r>
    </w:p>
    <w:p>
      <w:pPr>
        <w:pStyle w:val="Compact"/>
        <w:numPr>
          <w:ilvl w:val="0"/>
          <w:numId w:val="1009"/>
        </w:numPr>
      </w:pPr>
      <w:r>
        <w:t xml:space="preserve">Has management changed duration or risk appetite?</w:t>
      </w:r>
    </w:p>
    <w:p>
      <w:pPr>
        <w:pStyle w:val="Compact"/>
        <w:numPr>
          <w:ilvl w:val="0"/>
          <w:numId w:val="1009"/>
        </w:numPr>
      </w:pPr>
      <w:r>
        <w:t xml:space="preserve">Are performance-based investment returns improving?</w:t>
      </w:r>
    </w:p>
    <w:p>
      <w:r>
        <w:pict>
          <v:rect style="width:0;height:1.5pt" o:hralign="center" o:hrstd="t" o:hr="t"/>
        </w:pict>
      </w:r>
    </w:p>
    <w:bookmarkEnd w:id="19"/>
    <w:bookmarkStart w:id="20" w:name="X96a20db0773077e827f6916c74f65eec61b4752"/>
    <w:p>
      <w:pPr>
        <w:pStyle w:val="Heading2"/>
      </w:pPr>
      <w:r>
        <w:t xml:space="preserve">Growth outside core insurance remains secondary</w:t>
      </w:r>
    </w:p>
    <w:p>
      <w:pPr>
        <w:pStyle w:val="FirstParagraph"/>
      </w:pPr>
      <w:r>
        <w:t xml:space="preserve">Protection Services grew revenue in Q1 but generated weaker earnings:</w:t>
      </w:r>
    </w:p>
    <w:p>
      <w:pPr>
        <w:pStyle w:val="Compact"/>
        <w:numPr>
          <w:ilvl w:val="0"/>
          <w:numId w:val="1010"/>
        </w:numPr>
      </w:pPr>
      <w:r>
        <w:t xml:space="preserve">Adjusted net income declined to</w:t>
      </w:r>
      <w:r>
        <w:t xml:space="preserve"> </w:t>
      </w:r>
      <w:r>
        <w:rPr>
          <w:b/>
          <w:bCs/>
        </w:rPr>
        <w:t xml:space="preserve">$47 million</w:t>
      </w:r>
      <w:r>
        <w:t xml:space="preserve"> </w:t>
      </w:r>
      <w:r>
        <w:t xml:space="preserve">from $55 million</w:t>
      </w:r>
    </w:p>
    <w:p>
      <w:pPr>
        <w:pStyle w:val="Compact"/>
        <w:numPr>
          <w:ilvl w:val="0"/>
          <w:numId w:val="1010"/>
        </w:numPr>
      </w:pPr>
      <w:r>
        <w:t xml:space="preserve">Protection Plans revenue increased approximately</w:t>
      </w:r>
      <w:r>
        <w:t xml:space="preserve"> </w:t>
      </w:r>
      <w:r>
        <w:rPr>
          <w:b/>
          <w:bCs/>
        </w:rPr>
        <w:t xml:space="preserve">13.5%</w:t>
      </w:r>
    </w:p>
    <w:p>
      <w:pPr>
        <w:pStyle w:val="Compact"/>
        <w:numPr>
          <w:ilvl w:val="0"/>
          <w:numId w:val="1010"/>
        </w:numPr>
      </w:pPr>
      <w:r>
        <w:t xml:space="preserve">Higher Protection Plans claims costs reduced profitability</w:t>
      </w:r>
    </w:p>
    <w:p>
      <w:pPr>
        <w:pStyle w:val="Compact"/>
        <w:numPr>
          <w:ilvl w:val="0"/>
          <w:numId w:val="1010"/>
        </w:numPr>
      </w:pPr>
      <w:r>
        <w:t xml:space="preserve">Arity’s adjusted loss widened to</w:t>
      </w:r>
      <w:r>
        <w:t xml:space="preserve"> </w:t>
      </w:r>
      <w:r>
        <w:rPr>
          <w:b/>
          <w:bCs/>
        </w:rPr>
        <w:t xml:space="preserve">$12 million</w:t>
      </w:r>
      <w:r>
        <w:t xml:space="preserve">, partly because of restructuring</w:t>
      </w:r>
    </w:p>
    <w:p>
      <w:pPr>
        <w:pStyle w:val="FirstParagraph"/>
      </w:pPr>
      <w:r>
        <w:t xml:space="preserve">This segment is not currently large enough to determine the stock reaction, but investors should look for:</w:t>
      </w:r>
    </w:p>
    <w:p>
      <w:pPr>
        <w:pStyle w:val="Compact"/>
        <w:numPr>
          <w:ilvl w:val="0"/>
          <w:numId w:val="1011"/>
        </w:numPr>
      </w:pPr>
      <w:r>
        <w:t xml:space="preserve">Stabilization in Protection Plans loss costs;</w:t>
      </w:r>
    </w:p>
    <w:p>
      <w:pPr>
        <w:pStyle w:val="Compact"/>
        <w:numPr>
          <w:ilvl w:val="0"/>
          <w:numId w:val="1011"/>
        </w:numPr>
      </w:pPr>
      <w:r>
        <w:t xml:space="preserve">Improvement at Arity following restructuring;</w:t>
      </w:r>
    </w:p>
    <w:p>
      <w:pPr>
        <w:pStyle w:val="Compact"/>
        <w:numPr>
          <w:ilvl w:val="0"/>
          <w:numId w:val="1011"/>
        </w:numPr>
      </w:pPr>
      <w:r>
        <w:t xml:space="preserve">Continued double-digit Protection Plans growth; and</w:t>
      </w:r>
    </w:p>
    <w:p>
      <w:pPr>
        <w:pStyle w:val="Compact"/>
        <w:numPr>
          <w:ilvl w:val="0"/>
          <w:numId w:val="1011"/>
        </w:numPr>
      </w:pPr>
      <w:r>
        <w:t xml:space="preserve">Evidence that revenue growth is translating into better margins.</w:t>
      </w:r>
    </w:p>
    <w:p>
      <w:r>
        <w:pict>
          <v:rect style="width:0;height:1.5pt" o:hralign="center" o:hrstd="t" o:hr="t"/>
        </w:pict>
      </w:r>
    </w:p>
    <w:bookmarkEnd w:id="20"/>
    <w:bookmarkStart w:id="21" w:name="capital-returns-and-the-new-cfo"/>
    <w:p>
      <w:pPr>
        <w:pStyle w:val="Heading2"/>
      </w:pPr>
      <w:r>
        <w:t xml:space="preserve">Capital returns and the new CFO</w:t>
      </w:r>
    </w:p>
    <w:p>
      <w:pPr>
        <w:pStyle w:val="FirstParagraph"/>
      </w:pPr>
      <w:r>
        <w:t xml:space="preserve">Allstate returned</w:t>
      </w:r>
      <w:r>
        <w:t xml:space="preserve"> </w:t>
      </w:r>
      <m:oMath>
        <m:r>
          <m:t>881</m:t>
        </m:r>
        <m:r>
          <m:t>m</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t>i</m:t>
        </m:r>
        <m:r>
          <m:t>n</m:t>
        </m:r>
        <m:r>
          <m:t>Q</m:t>
        </m:r>
        <m:r>
          <m:t>1</m:t>
        </m:r>
        <m:r>
          <m:t>t</m:t>
        </m:r>
        <m:r>
          <m:t>h</m:t>
        </m:r>
        <m:r>
          <m:t>r</m:t>
        </m:r>
        <m:r>
          <m:t>o</m:t>
        </m:r>
        <m:r>
          <m:t>u</m:t>
        </m:r>
        <m:r>
          <m:t>g</m:t>
        </m:r>
        <m:r>
          <m:t>h</m:t>
        </m:r>
        <m:r>
          <m:t>b</m:t>
        </m:r>
        <m:r>
          <m:t>u</m:t>
        </m:r>
        <m:r>
          <m:t>y</m:t>
        </m:r>
        <m:r>
          <m:t>b</m:t>
        </m:r>
        <m:r>
          <m:t>a</m:t>
        </m:r>
        <m:r>
          <m:t>c</m:t>
        </m:r>
        <m:r>
          <m:t>k</m:t>
        </m:r>
        <m:r>
          <m:t>s</m:t>
        </m:r>
        <m:r>
          <m:t>a</m:t>
        </m:r>
        <m:r>
          <m:t>n</m:t>
        </m:r>
        <m:r>
          <m:t>d</m:t>
        </m:r>
        <m:r>
          <m:t>d</m:t>
        </m:r>
        <m:r>
          <m:t>i</m:t>
        </m:r>
        <m:r>
          <m:t>v</m:t>
        </m:r>
        <m:r>
          <m:t>i</m:t>
        </m:r>
        <m:r>
          <m:t>d</m:t>
        </m:r>
        <m:r>
          <m:t>e</m:t>
        </m:r>
        <m:r>
          <m:t>n</m:t>
        </m:r>
        <m:r>
          <m:t>d</m:t>
        </m:r>
        <m:r>
          <m:t>s</m:t>
        </m:r>
        <m:r>
          <m:rPr>
            <m:sty m:val="p"/>
          </m:rPr>
          <m:t>,</m:t>
        </m:r>
        <m:r>
          <m:t>i</m:t>
        </m:r>
        <m:r>
          <m:t>n</m:t>
        </m:r>
        <m:r>
          <m:t>c</m:t>
        </m:r>
        <m:r>
          <m:t>l</m:t>
        </m:r>
        <m:r>
          <m:t>u</m:t>
        </m:r>
        <m:r>
          <m:t>d</m:t>
        </m:r>
        <m:r>
          <m:t>i</m:t>
        </m:r>
        <m:r>
          <m:t>n</m:t>
        </m:r>
        <m:r>
          <m:t>g</m:t>
        </m:r>
        <m:r>
          <m:rPr>
            <m:sty m:val="p"/>
          </m:rPr>
          <m:t>*</m:t>
        </m:r>
        <m:r>
          <m:rPr>
            <m:sty m:val="p"/>
          </m:rPr>
          <m:t>*</m:t>
        </m:r>
      </m:oMath>
      <w:r>
        <w:rPr>
          <w:b/>
          <w:bCs/>
        </w:rPr>
        <w:t xml:space="preserve">620 million of common-stock repurchases</w:t>
      </w:r>
      <w:r>
        <w:t xml:space="preserve">. It had approximately</w:t>
      </w:r>
      <w:r>
        <w:t xml:space="preserve"> </w:t>
      </w:r>
      <w:r>
        <w:rPr>
          <w:b/>
          <w:bCs/>
        </w:rPr>
        <w:t xml:space="preserve">$3.6 billion remaining</w:t>
      </w:r>
      <w:r>
        <w:t xml:space="preserve"> </w:t>
      </w:r>
      <w:r>
        <w:t xml:space="preserve">under the $4 billion authorization at March 31.</w:t>
      </w:r>
    </w:p>
    <w:p>
      <w:pPr>
        <w:pStyle w:val="BodyText"/>
      </w:pPr>
      <w:r>
        <w:t xml:space="preserve">The balance sheet is strong:</w:t>
      </w:r>
    </w:p>
    <w:p>
      <w:pPr>
        <w:pStyle w:val="Compact"/>
        <w:numPr>
          <w:ilvl w:val="0"/>
          <w:numId w:val="1012"/>
        </w:numPr>
      </w:pPr>
      <w:r>
        <w:t xml:space="preserve">Q1 book value per diluted share:</w:t>
      </w:r>
      <w:r>
        <w:t xml:space="preserve"> </w:t>
      </w:r>
      <w:r>
        <w:rPr>
          <w:b/>
          <w:bCs/>
        </w:rPr>
        <w:t xml:space="preserve">$113.52</w:t>
      </w:r>
    </w:p>
    <w:p>
      <w:pPr>
        <w:pStyle w:val="Compact"/>
        <w:numPr>
          <w:ilvl w:val="0"/>
          <w:numId w:val="1012"/>
        </w:numPr>
      </w:pPr>
      <w:r>
        <w:t xml:space="preserve">Adjusted book value per share:</w:t>
      </w:r>
      <w:r>
        <w:t xml:space="preserve"> </w:t>
      </w:r>
      <w:r>
        <w:rPr>
          <w:b/>
          <w:bCs/>
        </w:rPr>
        <w:t xml:space="preserve">$114.36</w:t>
      </w:r>
    </w:p>
    <w:p>
      <w:pPr>
        <w:pStyle w:val="Compact"/>
        <w:numPr>
          <w:ilvl w:val="0"/>
          <w:numId w:val="1012"/>
        </w:numPr>
      </w:pPr>
      <w:r>
        <w:t xml:space="preserve">Debt-to-capital ratio:</w:t>
      </w:r>
      <w:r>
        <w:t xml:space="preserve"> </w:t>
      </w:r>
      <w:r>
        <w:rPr>
          <w:b/>
          <w:bCs/>
        </w:rPr>
        <w:t xml:space="preserve">19.2%</w:t>
      </w:r>
    </w:p>
    <w:p>
      <w:pPr>
        <w:pStyle w:val="Compact"/>
        <w:numPr>
          <w:ilvl w:val="0"/>
          <w:numId w:val="1012"/>
        </w:numPr>
      </w:pPr>
      <w:r>
        <w:t xml:space="preserve">Q1-end holding-company assets: approximately</w:t>
      </w:r>
      <w:r>
        <w:t xml:space="preserve"> </w:t>
      </w:r>
      <w:r>
        <w:rPr>
          <w:b/>
          <w:bCs/>
        </w:rPr>
        <w:t xml:space="preserve">$9.4 billion</w:t>
      </w:r>
    </w:p>
    <w:p>
      <w:pPr>
        <w:pStyle w:val="FirstParagraph"/>
      </w:pPr>
      <w:r>
        <w:t xml:space="preserve">Buyback activity will be closely watched. The stock’s roughly 24% appreciation since the last report makes repurchases somewhat less accretive than they were earlier in the year, but the company still has substantial excess capital and earnings generation.</w:t>
      </w:r>
    </w:p>
    <w:p>
      <w:pPr>
        <w:pStyle w:val="BodyText"/>
      </w:pPr>
      <w:r>
        <w:t xml:space="preserve">This is also the first report following</w:t>
      </w:r>
      <w:r>
        <w:t xml:space="preserve"> </w:t>
      </w:r>
      <w:r>
        <w:rPr>
          <w:b/>
          <w:bCs/>
        </w:rPr>
        <w:t xml:space="preserve">Christian Lown’s August 3 appointment as CFO</w:t>
      </w:r>
      <w:r>
        <w:t xml:space="preserve">. Investors should listen for any changes in how management frames:</w:t>
      </w:r>
    </w:p>
    <w:p>
      <w:pPr>
        <w:pStyle w:val="Compact"/>
        <w:numPr>
          <w:ilvl w:val="0"/>
          <w:numId w:val="1013"/>
        </w:numPr>
      </w:pPr>
      <w:r>
        <w:t xml:space="preserve">Capital allocation;</w:t>
      </w:r>
    </w:p>
    <w:p>
      <w:pPr>
        <w:pStyle w:val="Compact"/>
        <w:numPr>
          <w:ilvl w:val="0"/>
          <w:numId w:val="1013"/>
        </w:numPr>
      </w:pPr>
      <w:r>
        <w:t xml:space="preserve">Investment risk;</w:t>
      </w:r>
    </w:p>
    <w:p>
      <w:pPr>
        <w:pStyle w:val="Compact"/>
        <w:numPr>
          <w:ilvl w:val="0"/>
          <w:numId w:val="1013"/>
        </w:numPr>
      </w:pPr>
      <w:r>
        <w:t xml:space="preserve">Buyback pacing;</w:t>
      </w:r>
    </w:p>
    <w:p>
      <w:pPr>
        <w:pStyle w:val="Compact"/>
        <w:numPr>
          <w:ilvl w:val="0"/>
          <w:numId w:val="1013"/>
        </w:numPr>
      </w:pPr>
      <w:r>
        <w:t xml:space="preserve">M&amp;A appetite;</w:t>
      </w:r>
    </w:p>
    <w:p>
      <w:pPr>
        <w:pStyle w:val="Compact"/>
        <w:numPr>
          <w:ilvl w:val="0"/>
          <w:numId w:val="1013"/>
        </w:numPr>
      </w:pPr>
      <w:r>
        <w:t xml:space="preserve">Target underwriting returns; and</w:t>
      </w:r>
    </w:p>
    <w:p>
      <w:pPr>
        <w:pStyle w:val="Compact"/>
        <w:numPr>
          <w:ilvl w:val="0"/>
          <w:numId w:val="1013"/>
        </w:numPr>
      </w:pPr>
      <w:r>
        <w:t xml:space="preserve">Financial disclosure.</w:t>
      </w:r>
    </w:p>
    <w:p>
      <w:pPr>
        <w:pStyle w:val="FirstParagraph"/>
      </w:pPr>
      <w:r>
        <w:t xml:space="preserve">No major strategy change is likely immediately, but his capital-markets background could influence longer-term communication and deployment priorities.</w:t>
      </w:r>
    </w:p>
    <w:p>
      <w:r>
        <w:pict>
          <v:rect style="width:0;height:1.5pt" o:hralign="center" o:hrstd="t" o:hr="t"/>
        </w:pict>
      </w:r>
    </w:p>
    <w:bookmarkEnd w:id="21"/>
    <w:bookmarkStart w:id="22" w:name="what-would-qualify-as-a-strong-report"/>
    <w:p>
      <w:pPr>
        <w:pStyle w:val="Heading2"/>
      </w:pPr>
      <w:r>
        <w:t xml:space="preserve">What would qualify as a strong report?</w:t>
      </w:r>
    </w:p>
    <w:p>
      <w:pPr>
        <w:pStyle w:val="FirstParagraph"/>
      </w:pPr>
      <w:r>
        <w:t xml:space="preserve">A high-quality Q2 result would include most of the following:</w:t>
      </w:r>
    </w:p>
    <w:p>
      <w:pPr>
        <w:pStyle w:val="Compact"/>
        <w:numPr>
          <w:ilvl w:val="0"/>
          <w:numId w:val="1014"/>
        </w:numPr>
      </w:pPr>
      <w:r>
        <w:t xml:space="preserve">Auto underlying combined ratio around</w:t>
      </w:r>
      <w:r>
        <w:t xml:space="preserve"> </w:t>
      </w:r>
      <w:r>
        <w:rPr>
          <w:b/>
          <w:bCs/>
        </w:rPr>
        <w:t xml:space="preserve">89–91</w:t>
      </w:r>
    </w:p>
    <w:p>
      <w:pPr>
        <w:pStyle w:val="Compact"/>
        <w:numPr>
          <w:ilvl w:val="0"/>
          <w:numId w:val="1014"/>
        </w:numPr>
      </w:pPr>
      <w:r>
        <w:t xml:space="preserve">Homeowners underlying combined ratio around the</w:t>
      </w:r>
      <w:r>
        <w:t xml:space="preserve"> </w:t>
      </w:r>
      <w:r>
        <w:rPr>
          <w:b/>
          <w:bCs/>
        </w:rPr>
        <w:t xml:space="preserve">low 60s</w:t>
      </w:r>
    </w:p>
    <w:p>
      <w:pPr>
        <w:pStyle w:val="Compact"/>
        <w:numPr>
          <w:ilvl w:val="0"/>
          <w:numId w:val="1014"/>
        </w:numPr>
      </w:pPr>
      <w:r>
        <w:t xml:space="preserve">Total policy growth of at least</w:t>
      </w:r>
      <w:r>
        <w:t xml:space="preserve"> </w:t>
      </w:r>
      <w:r>
        <w:rPr>
          <w:b/>
          <w:bCs/>
        </w:rPr>
        <w:t xml:space="preserve">2.5%</w:t>
      </w:r>
    </w:p>
    <w:p>
      <w:pPr>
        <w:pStyle w:val="Compact"/>
        <w:numPr>
          <w:ilvl w:val="0"/>
          <w:numId w:val="1014"/>
        </w:numPr>
      </w:pPr>
      <w:r>
        <w:t xml:space="preserve">Continued strong new-business growth across distribution channels</w:t>
      </w:r>
    </w:p>
    <w:p>
      <w:pPr>
        <w:pStyle w:val="Compact"/>
        <w:numPr>
          <w:ilvl w:val="0"/>
          <w:numId w:val="1014"/>
        </w:numPr>
      </w:pPr>
      <w:r>
        <w:t xml:space="preserve">Reported catastrophe impact near</w:t>
      </w:r>
      <w:r>
        <w:t xml:space="preserve"> </w:t>
      </w:r>
      <w:r>
        <w:rPr>
          <w:b/>
          <w:bCs/>
        </w:rPr>
        <w:t xml:space="preserve">11–12 points</w:t>
      </w:r>
    </w:p>
    <w:p>
      <w:pPr>
        <w:pStyle w:val="Compact"/>
        <w:numPr>
          <w:ilvl w:val="0"/>
          <w:numId w:val="1014"/>
        </w:numPr>
      </w:pPr>
      <w:r>
        <w:t xml:space="preserve">Favorable—but not essential—prior-year reserve development</w:t>
      </w:r>
    </w:p>
    <w:p>
      <w:pPr>
        <w:pStyle w:val="Compact"/>
        <w:numPr>
          <w:ilvl w:val="0"/>
          <w:numId w:val="1014"/>
        </w:numPr>
      </w:pPr>
      <w:r>
        <w:t xml:space="preserve">Net investment income approaching or exceeding</w:t>
      </w:r>
      <w:r>
        <w:t xml:space="preserve"> </w:t>
      </w:r>
      <w:r>
        <w:rPr>
          <w:b/>
          <w:bCs/>
        </w:rPr>
        <w:t xml:space="preserve">$1 billion</w:t>
      </w:r>
    </w:p>
    <w:p>
      <w:pPr>
        <w:pStyle w:val="Compact"/>
        <w:numPr>
          <w:ilvl w:val="0"/>
          <w:numId w:val="1014"/>
        </w:numPr>
      </w:pPr>
      <w:r>
        <w:t xml:space="preserve">Continued meaningful share repurchases</w:t>
      </w:r>
    </w:p>
    <w:p>
      <w:pPr>
        <w:pStyle w:val="Compact"/>
        <w:numPr>
          <w:ilvl w:val="0"/>
          <w:numId w:val="1014"/>
        </w:numPr>
      </w:pPr>
      <w:r>
        <w:t xml:space="preserve">No material deterioration in auto severity or Protection Plans claims</w:t>
      </w:r>
    </w:p>
    <w:bookmarkEnd w:id="22"/>
    <w:bookmarkStart w:id="23" w:name="what-could-disappoint"/>
    <w:p>
      <w:pPr>
        <w:pStyle w:val="Heading2"/>
      </w:pPr>
      <w:r>
        <w:t xml:space="preserve">What could disappoint?</w:t>
      </w:r>
    </w:p>
    <w:p>
      <w:pPr>
        <w:pStyle w:val="FirstParagraph"/>
      </w:pPr>
      <w:r>
        <w:t xml:space="preserve">The main downside scenarios are:</w:t>
      </w:r>
    </w:p>
    <w:p>
      <w:pPr>
        <w:pStyle w:val="Compact"/>
        <w:numPr>
          <w:ilvl w:val="0"/>
          <w:numId w:val="1015"/>
        </w:numPr>
      </w:pPr>
      <w:r>
        <w:t xml:space="preserve">Auto underlying combined ratio rising above roughly</w:t>
      </w:r>
      <w:r>
        <w:t xml:space="preserve"> </w:t>
      </w:r>
      <w:r>
        <w:rPr>
          <w:b/>
          <w:bCs/>
        </w:rPr>
        <w:t xml:space="preserve">92</w:t>
      </w:r>
    </w:p>
    <w:p>
      <w:pPr>
        <w:pStyle w:val="Compact"/>
        <w:numPr>
          <w:ilvl w:val="0"/>
          <w:numId w:val="1015"/>
        </w:numPr>
      </w:pPr>
      <w:r>
        <w:t xml:space="preserve">Growth slowing despite lower pricing and higher advertising</w:t>
      </w:r>
    </w:p>
    <w:p>
      <w:pPr>
        <w:pStyle w:val="Compact"/>
        <w:numPr>
          <w:ilvl w:val="0"/>
          <w:numId w:val="1015"/>
        </w:numPr>
      </w:pPr>
      <w:r>
        <w:t xml:space="preserve">Renewed acceleration in auto bodily-injury or physical-damage severity</w:t>
      </w:r>
    </w:p>
    <w:p>
      <w:pPr>
        <w:pStyle w:val="Compact"/>
        <w:numPr>
          <w:ilvl w:val="0"/>
          <w:numId w:val="1015"/>
        </w:numPr>
      </w:pPr>
      <w:r>
        <w:t xml:space="preserve">Headline earnings depending heavily on another unusually large reserve release</w:t>
      </w:r>
    </w:p>
    <w:p>
      <w:pPr>
        <w:pStyle w:val="Compact"/>
        <w:numPr>
          <w:ilvl w:val="0"/>
          <w:numId w:val="1015"/>
        </w:numPr>
      </w:pPr>
      <w:r>
        <w:t xml:space="preserve">Homeowners margins weakening beyond the disclosed catastrophe impact</w:t>
      </w:r>
    </w:p>
    <w:p>
      <w:pPr>
        <w:pStyle w:val="Compact"/>
        <w:numPr>
          <w:ilvl w:val="0"/>
          <w:numId w:val="1015"/>
        </w:numPr>
      </w:pPr>
      <w:r>
        <w:t xml:space="preserve">A material investment loss from the larger equity allocation</w:t>
      </w:r>
    </w:p>
    <w:p>
      <w:pPr>
        <w:pStyle w:val="Compact"/>
        <w:numPr>
          <w:ilvl w:val="0"/>
          <w:numId w:val="1015"/>
        </w:numPr>
      </w:pPr>
      <w:r>
        <w:t xml:space="preserve">Slower buybacks despite ample holding-company liquidity</w:t>
      </w:r>
    </w:p>
    <w:p>
      <w:pPr>
        <w:pStyle w:val="Compact"/>
        <w:numPr>
          <w:ilvl w:val="0"/>
          <w:numId w:val="1015"/>
        </w:numPr>
      </w:pPr>
      <w:r>
        <w:t xml:space="preserve">Further deterioration in Protection Services profitability</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Allstate’s Q2 catastrophe burden is already known and appears manageable. The more important issue is the quality of the earnings underneath it.</w:t>
      </w:r>
    </w:p>
    <w:p>
      <w:pPr>
        <w:pStyle w:val="BodyText"/>
      </w:pPr>
      <w:r>
        <w:t xml:space="preserve">The company is attempting to shift from a pricing-led profit recovery to a</w:t>
      </w:r>
      <w:r>
        <w:t xml:space="preserve"> </w:t>
      </w:r>
      <w:r>
        <w:rPr>
          <w:b/>
          <w:bCs/>
        </w:rPr>
        <w:t xml:space="preserve">profitable market-share growth story</w:t>
      </w:r>
      <w:r>
        <w:t xml:space="preserve">. Q1 offered compelling evidence that this transition is working: policies and new business grew while auto and homeowners margins remained far better than target. Q2 needs to confirm that those margins remain resilient as pricing becomes more competitive and recent accident years mature.</w:t>
      </w:r>
    </w:p>
    <w:p>
      <w:pPr>
        <w:pStyle w:val="BodyText"/>
      </w:pPr>
      <w:r>
        <w:t xml:space="preserve">With the shares up sharply since the last report, a large earnings number alone may not be sufficient. The most constructive result would combine:</w:t>
      </w:r>
    </w:p>
    <w:p>
      <w:pPr>
        <w:pStyle w:val="Compact"/>
        <w:numPr>
          <w:ilvl w:val="0"/>
          <w:numId w:val="1016"/>
        </w:numPr>
      </w:pPr>
      <w:r>
        <w:rPr>
          <w:b/>
          <w:bCs/>
        </w:rPr>
        <w:t xml:space="preserve">Sustained underlying auto profitability</w:t>
      </w:r>
    </w:p>
    <w:p>
      <w:pPr>
        <w:pStyle w:val="Compact"/>
        <w:numPr>
          <w:ilvl w:val="0"/>
          <w:numId w:val="1016"/>
        </w:numPr>
      </w:pPr>
      <w:r>
        <w:rPr>
          <w:b/>
          <w:bCs/>
        </w:rPr>
        <w:t xml:space="preserve">Continued policy growth</w:t>
      </w:r>
    </w:p>
    <w:p>
      <w:pPr>
        <w:pStyle w:val="Compact"/>
        <w:numPr>
          <w:ilvl w:val="0"/>
          <w:numId w:val="1016"/>
        </w:numPr>
      </w:pPr>
      <w:r>
        <w:rPr>
          <w:b/>
          <w:bCs/>
        </w:rPr>
        <w:t xml:space="preserve">Strong homeowners economics outside catastrophes</w:t>
      </w:r>
    </w:p>
    <w:p>
      <w:pPr>
        <w:pStyle w:val="Compact"/>
        <w:numPr>
          <w:ilvl w:val="0"/>
          <w:numId w:val="1016"/>
        </w:numPr>
      </w:pPr>
      <w:r>
        <w:rPr>
          <w:b/>
          <w:bCs/>
        </w:rPr>
        <w:t xml:space="preserve">Less dependence on reserve releases</w:t>
      </w:r>
    </w:p>
    <w:p>
      <w:pPr>
        <w:pStyle w:val="Compact"/>
        <w:numPr>
          <w:ilvl w:val="0"/>
          <w:numId w:val="1016"/>
        </w:numPr>
      </w:pPr>
      <w:r>
        <w:rPr>
          <w:b/>
          <w:bCs/>
        </w:rPr>
        <w:t xml:space="preserve">Robust capital returns</w:t>
      </w:r>
    </w:p>
    <w:p>
      <w:pPr>
        <w:pStyle w:val="FirstParagraph"/>
      </w:pPr>
      <w:r>
        <w:t xml:space="preserve">The likely swing factor for the stock is not the disclosed $1.72 billion catastrophe loss. It is whether management can persuade investors that Allstate’s current earnings power—and its ability to grow without giving back too much margin—is durable.</w:t>
      </w:r>
    </w:p>
    <w:p>
      <w:pPr>
        <w:pStyle w:val="BodyText"/>
      </w:pPr>
      <w:r>
        <w:rPr>
          <w:i/>
          <w:iCs/>
        </w:rPr>
        <w:t xml:space="preserve">Sources: Allstate Q1 2026 Form 10-Q, Q1 investor supplement and earnings-call transcript; Allstate May and June 2026 monthly releases; July 2026 earnings-call schedule announcement; market-price data through August 4,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2026-08-05T01:24:19Z</dcterms:created>
  <dcterms:modified xsi:type="dcterms:W3CDTF">2026-08-05T01:24:19Z</dcterms:modified>
</cp:coreProperties>
</file>

<file path=docProps/custom.xml><?xml version="1.0" encoding="utf-8"?>
<Properties xmlns="http://schemas.openxmlformats.org/officeDocument/2006/custom-properties" xmlns:vt="http://schemas.openxmlformats.org/officeDocument/2006/docPropsVTypes"/>
</file>