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ll-earnings-predictions--2026-08-05"/>
    <w:p>
      <w:pPr>
        <w:pStyle w:val="Heading1"/>
      </w:pPr>
      <w:r>
        <w:t xml:space="preserve">ALL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~$5.35 vs. cons $5.01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~$17.55bn vs. cons $17.18bn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Underlying Property-Liability combined ratio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~82.5 vs. cons 84.0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underlying Property-Liability combined-ratio commentary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~83.5 vs. cons 84.5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Allstate Protection policy-in-force growth commentary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~3.0% vs. cons 2.5%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capital return / repurchase pacing commentary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~$3.5bn vs. cons $3.5bn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+2.1%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+3.4% (FOLLOW-THROUGH)</w:t>
            </w:r>
          </w:p>
        </w:tc>
        <w:tc>
          <w:tcPr/>
          <w:p>
            <w:pPr>
              <w:pStyle w:val="Compact"/>
            </w:pPr>
            <w:r>
              <w:t xml:space="preserve">~$5.35 Q2 EPS versus $5.01 consensus and an ~82.5 underlying combined ratio versus 84.0 support upward FY2026 earnings revisions; ~3.0% policy growth versus 2.5% consensus makes the beat more durable than a reserve-only or catastrophe-timing benefit.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2026-08-05T01:23:20Z</dcterms:created>
  <dcterms:modified xsi:type="dcterms:W3CDTF">2026-08-05T01:23:20Z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