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16dfa161bf7c44040382619bdc8ea10702dde5e"/>
    <w:p>
      <w:pPr>
        <w:pStyle w:val="Heading1"/>
      </w:pPr>
      <w:r>
        <w:t xml:space="preserve">Allstate (NYSE: ALL) — Q2 2026 Earnings Preview</w:t>
      </w:r>
    </w:p>
    <w:p>
      <w:pPr>
        <w:pStyle w:val="BlockText"/>
      </w:pPr>
      <w:r>
        <w:rPr>
          <w:b/>
          <w:bCs/>
        </w:rPr>
        <w:t xml:space="preserve">Timing clarification:</w:t>
      </w:r>
      <w:r>
        <w:t xml:space="preserve"> </w:t>
      </w:r>
      <w:r>
        <w:t xml:space="preserve">Allstate is scheduled to</w:t>
      </w:r>
      <w:r>
        <w:t xml:space="preserve"> </w:t>
      </w:r>
      <w:r>
        <w:rPr>
          <w:b/>
          <w:bCs/>
        </w:rPr>
        <w:t xml:space="preserve">release Q2 2026 results after 4:15 p.m. ET on Wednesday, August 5, 2026</w:t>
      </w:r>
      <w:r>
        <w:t xml:space="preserve">. The</w:t>
      </w:r>
      <w:r>
        <w:t xml:space="preserve"> </w:t>
      </w:r>
      <w:r>
        <w:rPr>
          <w:b/>
          <w:bCs/>
        </w:rPr>
        <w:t xml:space="preserve">earnings call is Thursday, August 6, 2026, at 9:00 a.m. ET</w:t>
      </w:r>
      <w:r>
        <w:t xml:space="preserve">—not on August 5.</w:t>
      </w:r>
    </w:p>
    <w:bookmarkStart w:id="9" w:name="investment-setup"/>
    <w:p>
      <w:pPr>
        <w:pStyle w:val="Heading2"/>
      </w:pPr>
      <w:r>
        <w:t xml:space="preserve">Investment setup</w:t>
      </w:r>
    </w:p>
    <w:p>
      <w:pPr>
        <w:pStyle w:val="FirstParagraph"/>
      </w:pPr>
      <w:r>
        <w:t xml:space="preserve">Allstate enters Q2 with a favorable fundamental backdrop—strong underlying auto and homeowners profitability, accelerating policy growth, rising investment income, and substantial excess capital—but with a well-telegraphed catastrophe-loss burden that will determine how much of that strength reaches reported earnings.</w:t>
      </w:r>
    </w:p>
    <w:p>
      <w:pPr>
        <w:pStyle w:val="BodyText"/>
      </w:pPr>
      <w:r>
        <w:t xml:space="preserve">The key debate is no longer whether Allstate can earn attractive underwriting margins; Q1 demonstrated that clearly. The question is whether the company can</w:t>
      </w:r>
      <w:r>
        <w:t xml:space="preserve"> </w:t>
      </w:r>
      <w:r>
        <w:rPr>
          <w:b/>
          <w:bCs/>
        </w:rPr>
        <w:t xml:space="preserve">convert its current margin cushion into faster, profitable growth</w:t>
      </w:r>
      <w:r>
        <w:t xml:space="preserve"> </w:t>
      </w:r>
      <w:r>
        <w:t xml:space="preserve">without giving up too much underwriting discipline or becoming more exposed to elevated catastrophe volatility.</w:t>
      </w:r>
    </w:p>
    <w:p>
      <w:pPr>
        <w:pStyle w:val="BodyText"/>
      </w:pPr>
      <w:r>
        <w:t xml:space="preserve">The stock closed at</w:t>
      </w:r>
      <w:r>
        <w:t xml:space="preserve"> </w:t>
      </w:r>
      <w:r>
        <w:rPr>
          <w:b/>
          <w:bCs/>
        </w:rPr>
        <w:t xml:space="preserve">$262.60 on August 4</w:t>
      </w:r>
      <w:r>
        <w:t xml:space="preserve">, up roughly</w:t>
      </w:r>
      <w:r>
        <w:t xml:space="preserve"> </w:t>
      </w:r>
      <w:r>
        <w:rPr>
          <w:b/>
          <w:bCs/>
        </w:rPr>
        <w:t xml:space="preserve">28.8% year to date</w:t>
      </w:r>
      <w:r>
        <w:t xml:space="preserve"> </w:t>
      </w:r>
      <w:r>
        <w:t xml:space="preserve">and</w:t>
      </w:r>
      <w:r>
        <w:t xml:space="preserve"> </w:t>
      </w:r>
      <w:r>
        <w:rPr>
          <w:b/>
          <w:bCs/>
        </w:rPr>
        <w:t xml:space="preserve">18.7% since the May catastrophe update</w:t>
      </w:r>
      <w:r>
        <w:t xml:space="preserve">. That performance raises the bar: investors will likely need confirmation that growth, reserve development, capital returns, and underlying margins remain supportive—not merely a catastrophe result in line with the pre-disclosed number.</w:t>
      </w:r>
    </w:p>
    <w:bookmarkEnd w:id="9"/>
    <w:bookmarkStart w:id="10" w:name="Xb4e441ec2e22f7435490f2e4c86ec1b68a13752"/>
    <w:p>
      <w:pPr>
        <w:pStyle w:val="Heading2"/>
      </w:pPr>
      <w:r>
        <w:t xml:space="preserve">What is already known: Q2 catastrophe losses</w:t>
      </w:r>
    </w:p>
    <w:p>
      <w:pPr>
        <w:pStyle w:val="FirstParagraph"/>
      </w:pPr>
      <w:r>
        <w:t xml:space="preserve">Allstate has already disclosed estimated Q2 catastrophe losses of</w:t>
      </w:r>
      <w:r>
        <w:t xml:space="preserve"> </w:t>
      </w:r>
      <m:oMath>
        <m:r>
          <m:t>1.72</m:t>
        </m:r>
        <m:r>
          <m:t>b</m:t>
        </m:r>
        <m:r>
          <m:t>i</m:t>
        </m:r>
        <m:r>
          <m:t>l</m:t>
        </m:r>
        <m:r>
          <m:t>l</m:t>
        </m:r>
        <m:r>
          <m:t>i</m:t>
        </m:r>
        <m:r>
          <m:t>o</m:t>
        </m:r>
        <m:r>
          <m:t>n</m:t>
        </m:r>
        <m:r>
          <m:t>p</m:t>
        </m:r>
        <m:r>
          <m:t>r</m:t>
        </m:r>
        <m:r>
          <m:t>e</m:t>
        </m:r>
        <m:r>
          <m:rPr>
            <m:sty m:val="p"/>
          </m:rPr>
          <m:t>−</m:t>
        </m:r>
        <m:r>
          <m:t>t</m:t>
        </m:r>
        <m:r>
          <m:t>a</m:t>
        </m:r>
        <m:r>
          <m:t>x</m:t>
        </m:r>
        <m:r>
          <m:rPr>
            <m:sty m:val="p"/>
          </m:rPr>
          <m:t>*</m:t>
        </m:r>
        <m:r>
          <m:rPr>
            <m:sty m:val="p"/>
          </m:rPr>
          <m:t>*</m:t>
        </m:r>
        <m:r>
          <m:rPr>
            <m:sty m:val="p"/>
          </m:rPr>
          <m:t>(</m:t>
        </m:r>
        <m:r>
          <m:rPr>
            <m:sty m:val="p"/>
          </m:rPr>
          <m:t>*</m:t>
        </m:r>
        <m:r>
          <m:rPr>
            <m:sty m:val="p"/>
          </m:rPr>
          <m:t>*</m:t>
        </m:r>
      </m:oMath>
      <w:r>
        <w:rPr>
          <w:b/>
          <w:bCs/>
        </w:rPr>
        <w:t xml:space="preserve">1.36 billion after tax</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Month</w:t>
            </w:r>
          </w:p>
        </w:tc>
        <w:tc>
          <w:tcPr/>
          <w:p>
            <w:pPr>
              <w:pStyle w:val="Compact"/>
              <w:jc w:val="right"/>
            </w:pPr>
            <w:r>
              <w:t xml:space="preserve">Estimated catastrophe losses</w:t>
            </w:r>
          </w:p>
        </w:tc>
      </w:tr>
      <w:tr>
        <w:tc>
          <w:tcPr/>
          <w:p>
            <w:pPr>
              <w:pStyle w:val="Compact"/>
            </w:pPr>
            <w:r>
              <w:t xml:space="preserve">April + May 2026</w:t>
            </w:r>
          </w:p>
        </w:tc>
        <w:tc>
          <w:tcPr/>
          <w:p>
            <w:pPr>
              <w:pStyle w:val="Compact"/>
              <w:jc w:val="right"/>
            </w:pPr>
            <w:r>
              <w:t xml:space="preserve">$1.16bn</w:t>
            </w:r>
          </w:p>
        </w:tc>
      </w:tr>
      <w:tr>
        <w:tc>
          <w:tcPr/>
          <w:p>
            <w:pPr>
              <w:pStyle w:val="Compact"/>
            </w:pPr>
            <w:r>
              <w:t xml:space="preserve">June 2026</w:t>
            </w:r>
          </w:p>
        </w:tc>
        <w:tc>
          <w:tcPr/>
          <w:p>
            <w:pPr>
              <w:pStyle w:val="Compact"/>
              <w:jc w:val="right"/>
            </w:pPr>
            <w:r>
              <w:t xml:space="preserve">$563m</w:t>
            </w:r>
          </w:p>
        </w:tc>
      </w:tr>
      <w:tr>
        <w:tc>
          <w:tcPr/>
          <w:p>
            <w:pPr>
              <w:pStyle w:val="Compact"/>
            </w:pPr>
            <w:r>
              <w:rPr>
                <w:b/>
                <w:bCs/>
              </w:rPr>
              <w:t xml:space="preserve">Q2 2026 total</w:t>
            </w:r>
          </w:p>
        </w:tc>
        <w:tc>
          <w:tcPr/>
          <w:p>
            <w:pPr>
              <w:pStyle w:val="Compact"/>
              <w:jc w:val="right"/>
            </w:pPr>
            <w:r>
              <w:rPr>
                <w:b/>
                <w:bCs/>
              </w:rPr>
              <w:t xml:space="preserve">$1.72bn</w:t>
            </w:r>
          </w:p>
        </w:tc>
      </w:tr>
    </w:tbl>
    <w:p>
      <w:pPr>
        <w:pStyle w:val="BodyText"/>
      </w:pPr>
      <w:r>
        <w:t xml:space="preserve">This is the most important pre-release data point. While substantial, it is</w:t>
      </w:r>
      <w:r>
        <w:t xml:space="preserve"> </w:t>
      </w:r>
      <w:r>
        <w:rPr>
          <w:b/>
          <w:bCs/>
        </w:rPr>
        <w:t xml:space="preserve">below Q2 2025 catastrophe losses of $1.99 billion</w:t>
      </w:r>
      <w:r>
        <w:t xml:space="preserve">, when catastrophe losses represented 13.9 points on the Property-Liability combined ratio and 42.8 points on the homeowners combined ratio.</w:t>
      </w:r>
    </w:p>
    <w:p>
      <w:pPr>
        <w:pStyle w:val="BodyText"/>
      </w:pPr>
      <w:r>
        <w:t xml:space="preserve">That comparison is constructive—but not sufficient on its own. The market will focus on:</w:t>
      </w:r>
    </w:p>
    <w:p>
      <w:pPr>
        <w:pStyle w:val="Compact"/>
        <w:numPr>
          <w:ilvl w:val="0"/>
          <w:numId w:val="1001"/>
        </w:numPr>
      </w:pPr>
      <w:r>
        <w:rPr>
          <w:b/>
          <w:bCs/>
        </w:rPr>
        <w:t xml:space="preserve">How much of the catastrophe burden falls in homeowners versus auto</w:t>
      </w:r>
    </w:p>
    <w:p>
      <w:pPr>
        <w:pStyle w:val="Compact"/>
        <w:numPr>
          <w:ilvl w:val="0"/>
          <w:numId w:val="1001"/>
        </w:numPr>
      </w:pPr>
      <w:r>
        <w:rPr>
          <w:b/>
          <w:bCs/>
        </w:rPr>
        <w:t xml:space="preserve">Whether the catastrophe experience is consistent with Allstate’s reinsurance expectations</w:t>
      </w:r>
    </w:p>
    <w:p>
      <w:pPr>
        <w:pStyle w:val="Compact"/>
        <w:numPr>
          <w:ilvl w:val="0"/>
          <w:numId w:val="1001"/>
        </w:numPr>
      </w:pPr>
      <w:r>
        <w:rPr>
          <w:b/>
          <w:bCs/>
        </w:rPr>
        <w:t xml:space="preserve">Whether favorable prior-year reserve development again cushions reported underwriting results</w:t>
      </w:r>
    </w:p>
    <w:p>
      <w:pPr>
        <w:pStyle w:val="Compact"/>
        <w:numPr>
          <w:ilvl w:val="0"/>
          <w:numId w:val="1001"/>
        </w:numPr>
      </w:pPr>
      <w:r>
        <w:rPr>
          <w:b/>
          <w:bCs/>
        </w:rPr>
        <w:t xml:space="preserve">Whether underlying margins remain strong as Allstate pursues faster policy growth</w:t>
      </w:r>
    </w:p>
    <w:bookmarkEnd w:id="10"/>
    <w:bookmarkStart w:id="11" w:name="Xc5e7abd9bce44e3ed28b47c823eefff2915bde5"/>
    <w:p>
      <w:pPr>
        <w:pStyle w:val="Heading2"/>
      </w:pPr>
      <w:r>
        <w:t xml:space="preserve">Why the quarter matters: balancing growth and margins</w:t>
      </w:r>
    </w:p>
    <w:p>
      <w:pPr>
        <w:pStyle w:val="FirstParagraph"/>
      </w:pPr>
      <w:r>
        <w:t xml:space="preserve">In Q1, Allstate reported unusually strong results:</w:t>
      </w:r>
    </w:p>
    <w:p>
      <w:pPr>
        <w:pStyle w:val="Compact"/>
        <w:numPr>
          <w:ilvl w:val="0"/>
          <w:numId w:val="1002"/>
        </w:numPr>
      </w:pPr>
      <w:r>
        <w:rPr>
          <w:b/>
          <w:bCs/>
        </w:rPr>
        <w:t xml:space="preserve">Adjusted net income:</w:t>
      </w:r>
      <w:r>
        <w:t xml:space="preserve"> </w:t>
      </w:r>
      <m:oMath>
        <m:r>
          <m:t>2.8</m:t>
        </m:r>
        <m:r>
          <m:t>b</m:t>
        </m:r>
        <m:r>
          <m:t>i</m:t>
        </m:r>
        <m:r>
          <m:t>l</m:t>
        </m:r>
        <m:r>
          <m:t>l</m:t>
        </m:r>
        <m:r>
          <m:t>i</m:t>
        </m:r>
        <m:r>
          <m:t>o</m:t>
        </m:r>
        <m:r>
          <m:t>n</m:t>
        </m:r>
        <m:r>
          <m:rPr>
            <m:sty m:val="p"/>
          </m:rPr>
          <m:t>,</m:t>
        </m:r>
        <m:r>
          <m:t>o</m:t>
        </m:r>
        <m:r>
          <m:t>r</m:t>
        </m:r>
        <m:r>
          <m:rPr>
            <m:sty m:val="p"/>
          </m:rPr>
          <m:t>*</m:t>
        </m:r>
        <m:r>
          <m:rPr>
            <m:sty m:val="p"/>
          </m:rPr>
          <m:t>*</m:t>
        </m:r>
      </m:oMath>
      <w:r>
        <w:t xml:space="preserve">10.65 per diluted share**</w:t>
      </w:r>
    </w:p>
    <w:p>
      <w:pPr>
        <w:pStyle w:val="Compact"/>
        <w:numPr>
          <w:ilvl w:val="0"/>
          <w:numId w:val="1002"/>
        </w:numPr>
      </w:pPr>
      <w:r>
        <w:rPr>
          <w:b/>
          <w:bCs/>
        </w:rPr>
        <w:t xml:space="preserve">Property-Liability combined ratio:</w:t>
      </w:r>
      <w:r>
        <w:t xml:space="preserve"> </w:t>
      </w:r>
      <w:r>
        <w:rPr>
          <w:b/>
          <w:bCs/>
        </w:rPr>
        <w:t xml:space="preserve">82.0</w:t>
      </w:r>
    </w:p>
    <w:p>
      <w:pPr>
        <w:pStyle w:val="Compact"/>
        <w:numPr>
          <w:ilvl w:val="0"/>
          <w:numId w:val="1002"/>
        </w:numPr>
      </w:pPr>
      <w:r>
        <w:rPr>
          <w:b/>
          <w:bCs/>
        </w:rPr>
        <w:t xml:space="preserve">Underlying Property-Liability combined ratio:</w:t>
      </w:r>
      <w:r>
        <w:t xml:space="preserve"> </w:t>
      </w:r>
      <w:r>
        <w:rPr>
          <w:b/>
          <w:bCs/>
        </w:rPr>
        <w:t xml:space="preserve">80.3</w:t>
      </w:r>
    </w:p>
    <w:p>
      <w:pPr>
        <w:pStyle w:val="Compact"/>
        <w:numPr>
          <w:ilvl w:val="0"/>
          <w:numId w:val="1002"/>
        </w:numPr>
      </w:pPr>
      <w:r>
        <w:rPr>
          <w:b/>
          <w:bCs/>
        </w:rPr>
        <w:t xml:space="preserve">Property-Liability policies in force:</w:t>
      </w:r>
      <w:r>
        <w:t xml:space="preserve"> </w:t>
      </w:r>
      <w:r>
        <w:t xml:space="preserve">up</w:t>
      </w:r>
      <w:r>
        <w:t xml:space="preserve"> </w:t>
      </w:r>
      <w:r>
        <w:rPr>
          <w:b/>
          <w:bCs/>
        </w:rPr>
        <w:t xml:space="preserve">2.3%</w:t>
      </w:r>
    </w:p>
    <w:p>
      <w:pPr>
        <w:pStyle w:val="Compact"/>
        <w:numPr>
          <w:ilvl w:val="0"/>
          <w:numId w:val="1002"/>
        </w:numPr>
      </w:pPr>
      <w:r>
        <w:rPr>
          <w:b/>
          <w:bCs/>
        </w:rPr>
        <w:t xml:space="preserve">Auto policies in force:</w:t>
      </w:r>
      <w:r>
        <w:t xml:space="preserve"> </w:t>
      </w:r>
      <w:r>
        <w:t xml:space="preserve">up</w:t>
      </w:r>
      <w:r>
        <w:t xml:space="preserve"> </w:t>
      </w:r>
      <w:r>
        <w:rPr>
          <w:b/>
          <w:bCs/>
        </w:rPr>
        <w:t xml:space="preserve">2.6%</w:t>
      </w:r>
    </w:p>
    <w:p>
      <w:pPr>
        <w:pStyle w:val="Compact"/>
        <w:numPr>
          <w:ilvl w:val="0"/>
          <w:numId w:val="1002"/>
        </w:numPr>
      </w:pPr>
      <w:r>
        <w:rPr>
          <w:b/>
          <w:bCs/>
        </w:rPr>
        <w:t xml:space="preserve">Homeowners policies in force:</w:t>
      </w:r>
      <w:r>
        <w:t xml:space="preserve"> </w:t>
      </w:r>
      <w:r>
        <w:t xml:space="preserve">up</w:t>
      </w:r>
      <w:r>
        <w:t xml:space="preserve"> </w:t>
      </w:r>
      <w:r>
        <w:rPr>
          <w:b/>
          <w:bCs/>
        </w:rPr>
        <w:t xml:space="preserve">2.5%</w:t>
      </w:r>
    </w:p>
    <w:p>
      <w:pPr>
        <w:pStyle w:val="Compact"/>
        <w:numPr>
          <w:ilvl w:val="0"/>
          <w:numId w:val="1002"/>
        </w:numPr>
      </w:pPr>
      <w:r>
        <w:rPr>
          <w:b/>
          <w:bCs/>
        </w:rPr>
        <w:t xml:space="preserve">Net investment income:</w:t>
      </w:r>
      <w:r>
        <w:t xml:space="preserve"> </w:t>
      </w:r>
      <w:r>
        <w:t xml:space="preserve">$938 million, up</w:t>
      </w:r>
      <w:r>
        <w:t xml:space="preserve"> </w:t>
      </w:r>
      <w:r>
        <w:rPr>
          <w:b/>
          <w:bCs/>
        </w:rPr>
        <w:t xml:space="preserve">9.8% year over year</w:t>
      </w:r>
    </w:p>
    <w:p>
      <w:pPr>
        <w:pStyle w:val="FirstParagraph"/>
      </w:pPr>
      <w:r>
        <w:t xml:space="preserve">Those results benefited from low catastrophe losses and meaningful favorable reserve development. Therefore, Q2 is a more revealing test of the earnings model: it includes a known, material catastrophe load while management is actively using pricing, advertising, product expansion, distribution, and underwriting segmentation to increase market share.</w:t>
      </w:r>
    </w:p>
    <w:p>
      <w:pPr>
        <w:pStyle w:val="BodyText"/>
      </w:pPr>
      <w:r>
        <w:t xml:space="preserve">The principal investor concern is whether Allstate’s push toward affordability and growth gradually normalizes underwriting margins from currently exceptional levels. Management has been explicit that it is willing to use targeted rate reductions where profitability is comfortably ahead of target, while taking increases or restricting new business in less attractive markets.</w:t>
      </w:r>
    </w:p>
    <w:bookmarkEnd w:id="11"/>
    <w:bookmarkStart w:id="16" w:name="the-four-items-investors-should-watch"/>
    <w:p>
      <w:pPr>
        <w:pStyle w:val="Heading2"/>
      </w:pPr>
      <w:r>
        <w:t xml:space="preserve">The four items investors should watch</w:t>
      </w:r>
    </w:p>
    <w:bookmarkStart w:id="12" w:name="Xb586ef5a0532e2fced85952a4d2be59cfca848d"/>
    <w:p>
      <w:pPr>
        <w:pStyle w:val="Heading3"/>
      </w:pPr>
      <w:r>
        <w:t xml:space="preserve">1. Underlying combined ratio: proof that margin strength is durable</w:t>
      </w:r>
    </w:p>
    <w:p>
      <w:pPr>
        <w:pStyle w:val="FirstParagraph"/>
      </w:pPr>
      <w:r>
        <w:t xml:space="preserve">This is the most important operating metric.</w:t>
      </w:r>
    </w:p>
    <w:p>
      <w:pPr>
        <w:pStyle w:val="BodyText"/>
      </w:pPr>
      <w:r>
        <w:t xml:space="preserve">Q2 2025 provides a demanding comparison: Allstate delivered a</w:t>
      </w:r>
      <w:r>
        <w:t xml:space="preserve"> </w:t>
      </w:r>
      <w:r>
        <w:rPr>
          <w:b/>
          <w:bCs/>
        </w:rPr>
        <w:t xml:space="preserve">79.5 underlying Property-Liability combined ratio</w:t>
      </w:r>
      <w:r>
        <w:t xml:space="preserve">, including an</w:t>
      </w:r>
      <w:r>
        <w:t xml:space="preserve"> </w:t>
      </w:r>
      <w:r>
        <w:rPr>
          <w:b/>
          <w:bCs/>
        </w:rPr>
        <w:t xml:space="preserve">87.8 auto</w:t>
      </w:r>
      <w:r>
        <w:t xml:space="preserve"> </w:t>
      </w:r>
      <w:r>
        <w:t xml:space="preserve">underlying ratio and an exceptionally low</w:t>
      </w:r>
      <w:r>
        <w:t xml:space="preserve"> </w:t>
      </w:r>
      <w:r>
        <w:rPr>
          <w:b/>
          <w:bCs/>
        </w:rPr>
        <w:t xml:space="preserve">58.6 homeowners</w:t>
      </w:r>
      <w:r>
        <w:t xml:space="preserve"> </w:t>
      </w:r>
      <w:r>
        <w:t xml:space="preserve">underlying ratio. The latter illustrates the inherent volatility in comparing homeowners underwriting performance quarter to quarter.</w:t>
      </w:r>
    </w:p>
    <w:p>
      <w:pPr>
        <w:pStyle w:val="BodyText"/>
      </w:pPr>
      <w:r>
        <w:t xml:space="preserve">For Q2 2026, investors should look beyond the reported combined ratio and separate:</w:t>
      </w:r>
    </w:p>
    <w:p>
      <w:pPr>
        <w:pStyle w:val="Compact"/>
        <w:numPr>
          <w:ilvl w:val="0"/>
          <w:numId w:val="1003"/>
        </w:numPr>
      </w:pPr>
      <w:r>
        <w:t xml:space="preserve">catastrophe losses,</w:t>
      </w:r>
    </w:p>
    <w:p>
      <w:pPr>
        <w:pStyle w:val="Compact"/>
        <w:numPr>
          <w:ilvl w:val="0"/>
          <w:numId w:val="1003"/>
        </w:numPr>
      </w:pPr>
      <w:r>
        <w:t xml:space="preserve">prior-year reserve development,</w:t>
      </w:r>
    </w:p>
    <w:p>
      <w:pPr>
        <w:pStyle w:val="Compact"/>
        <w:numPr>
          <w:ilvl w:val="0"/>
          <w:numId w:val="1003"/>
        </w:numPr>
      </w:pPr>
      <w:r>
        <w:t xml:space="preserve">amortization effects, and</w:t>
      </w:r>
    </w:p>
    <w:p>
      <w:pPr>
        <w:pStyle w:val="Compact"/>
        <w:numPr>
          <w:ilvl w:val="0"/>
          <w:numId w:val="1003"/>
        </w:numPr>
      </w:pPr>
      <w:r>
        <w:t xml:space="preserve">underlying current-accident-year profitability.</w:t>
      </w:r>
    </w:p>
    <w:p>
      <w:pPr>
        <w:pStyle w:val="FirstParagraph"/>
      </w:pPr>
      <w:r>
        <w:rPr>
          <w:b/>
          <w:bCs/>
        </w:rPr>
        <w:t xml:space="preserve">Bullish read:</w:t>
      </w:r>
      <w:r>
        <w:t xml:space="preserve"> </w:t>
      </w:r>
      <w:r>
        <w:t xml:space="preserve">Underlying results remain comfortably better than management’s long-term auto target range, while homeowners margins hold up despite severe-weather losses and growth investments.</w:t>
      </w:r>
    </w:p>
    <w:p>
      <w:pPr>
        <w:pStyle w:val="BodyText"/>
      </w:pPr>
      <w:r>
        <w:rPr>
          <w:b/>
          <w:bCs/>
        </w:rPr>
        <w:t xml:space="preserve">Bearish read:</w:t>
      </w:r>
      <w:r>
        <w:t xml:space="preserve"> </w:t>
      </w:r>
      <w:r>
        <w:t xml:space="preserve">Underlying loss ratios or expense ratios worsen meaningfully, suggesting that lower prices, increased advertising, or claims-cost pressure are eroding the underwriting cushion faster than expected.</w:t>
      </w:r>
    </w:p>
    <w:bookmarkEnd w:id="12"/>
    <w:bookmarkStart w:id="13" w:name="Xb42c27e8e37c2f536a1fd9f34aba58ea6ceeddf"/>
    <w:p>
      <w:pPr>
        <w:pStyle w:val="Heading3"/>
      </w:pPr>
      <w:r>
        <w:t xml:space="preserve">2. Policy growth and new-business momentum</w:t>
      </w:r>
    </w:p>
    <w:p>
      <w:pPr>
        <w:pStyle w:val="FirstParagraph"/>
      </w:pPr>
      <w:r>
        <w:t xml:space="preserve">The monthly disclosures point to continued momentum through May:</w:t>
      </w:r>
    </w:p>
    <w:p>
      <w:pPr>
        <w:pStyle w:val="Compact"/>
        <w:numPr>
          <w:ilvl w:val="0"/>
          <w:numId w:val="1004"/>
        </w:numPr>
      </w:pPr>
      <w:r>
        <w:rPr>
          <w:b/>
          <w:bCs/>
        </w:rPr>
        <w:t xml:space="preserve">Auto policies in force:</w:t>
      </w:r>
      <w:r>
        <w:t xml:space="preserve"> </w:t>
      </w:r>
      <w:r>
        <w:t xml:space="preserve">25.9 million, up</w:t>
      </w:r>
      <w:r>
        <w:t xml:space="preserve"> </w:t>
      </w:r>
      <w:r>
        <w:rPr>
          <w:b/>
          <w:bCs/>
        </w:rPr>
        <w:t xml:space="preserve">2.7% year over year</w:t>
      </w:r>
    </w:p>
    <w:p>
      <w:pPr>
        <w:pStyle w:val="Compact"/>
        <w:numPr>
          <w:ilvl w:val="0"/>
          <w:numId w:val="1004"/>
        </w:numPr>
      </w:pPr>
      <w:r>
        <w:rPr>
          <w:b/>
          <w:bCs/>
        </w:rPr>
        <w:t xml:space="preserve">Homeowners policies in force:</w:t>
      </w:r>
      <w:r>
        <w:t xml:space="preserve"> </w:t>
      </w:r>
      <w:r>
        <w:t xml:space="preserve">7.8 million, up</w:t>
      </w:r>
      <w:r>
        <w:t xml:space="preserve"> </w:t>
      </w:r>
      <w:r>
        <w:rPr>
          <w:b/>
          <w:bCs/>
        </w:rPr>
        <w:t xml:space="preserve">2.6% year over year</w:t>
      </w:r>
    </w:p>
    <w:p>
      <w:pPr>
        <w:pStyle w:val="Compact"/>
        <w:numPr>
          <w:ilvl w:val="0"/>
          <w:numId w:val="1004"/>
        </w:numPr>
      </w:pPr>
      <w:r>
        <w:rPr>
          <w:b/>
          <w:bCs/>
        </w:rPr>
        <w:t xml:space="preserve">Total Allstate Protection policies in force:</w:t>
      </w:r>
      <w:r>
        <w:t xml:space="preserve"> </w:t>
      </w:r>
      <w:r>
        <w:t xml:space="preserve">up</w:t>
      </w:r>
      <w:r>
        <w:t xml:space="preserve"> </w:t>
      </w:r>
      <w:r>
        <w:rPr>
          <w:b/>
          <w:bCs/>
        </w:rPr>
        <w:t xml:space="preserve">2.4% year over year</w:t>
      </w:r>
    </w:p>
    <w:p>
      <w:pPr>
        <w:pStyle w:val="FirstParagraph"/>
      </w:pPr>
      <w:r>
        <w:t xml:space="preserve">This is meaningful because Allstate’s strategy is shifting from remediation and rate catch-up to share capture. The company has expanded its Allstate-branded Affordable, Simple, Connected products, increased its independent-agent reach, leaned into direct distribution and marketing, and emphasized bundled offerings.</w:t>
      </w:r>
    </w:p>
    <w:p>
      <w:pPr>
        <w:pStyle w:val="BodyText"/>
      </w:pPr>
      <w:r>
        <w:t xml:space="preserve">The most useful Q2 indicators will be:</w:t>
      </w:r>
    </w:p>
    <w:p>
      <w:pPr>
        <w:pStyle w:val="Compact"/>
        <w:numPr>
          <w:ilvl w:val="0"/>
          <w:numId w:val="1005"/>
        </w:numPr>
      </w:pPr>
      <w:r>
        <w:t xml:space="preserve">personal auto and homeowners policy growth,</w:t>
      </w:r>
    </w:p>
    <w:p>
      <w:pPr>
        <w:pStyle w:val="Compact"/>
        <w:numPr>
          <w:ilvl w:val="0"/>
          <w:numId w:val="1005"/>
        </w:numPr>
      </w:pPr>
      <w:r>
        <w:t xml:space="preserve">new-business growth by channel,</w:t>
      </w:r>
    </w:p>
    <w:p>
      <w:pPr>
        <w:pStyle w:val="Compact"/>
        <w:numPr>
          <w:ilvl w:val="0"/>
          <w:numId w:val="1005"/>
        </w:numPr>
      </w:pPr>
      <w:r>
        <w:t xml:space="preserve">retention trends,</w:t>
      </w:r>
    </w:p>
    <w:p>
      <w:pPr>
        <w:pStyle w:val="Compact"/>
        <w:numPr>
          <w:ilvl w:val="0"/>
          <w:numId w:val="1005"/>
        </w:numPr>
      </w:pPr>
      <w:r>
        <w:t xml:space="preserve">the mix of growth in standard versus more difficult markets, and</w:t>
      </w:r>
    </w:p>
    <w:p>
      <w:pPr>
        <w:pStyle w:val="Compact"/>
        <w:numPr>
          <w:ilvl w:val="0"/>
          <w:numId w:val="1005"/>
        </w:numPr>
      </w:pPr>
      <w:r>
        <w:t xml:space="preserve">premium growth relative to policy growth.</w:t>
      </w:r>
    </w:p>
    <w:p>
      <w:pPr>
        <w:pStyle w:val="FirstParagraph"/>
      </w:pPr>
      <w:r>
        <w:t xml:space="preserve">A faster policy count is positive only if it is accompanied by sustainable underwriting economics.</w:t>
      </w:r>
    </w:p>
    <w:bookmarkEnd w:id="13"/>
    <w:bookmarkStart w:id="14" w:name="X4cf7f5401b32d21a3febf7ded437ed2097ebb52"/>
    <w:p>
      <w:pPr>
        <w:pStyle w:val="Heading3"/>
      </w:pPr>
      <w:r>
        <w:t xml:space="preserve">3. Reserve development: recurring tailwind or fading benefit?</w:t>
      </w:r>
    </w:p>
    <w:p>
      <w:pPr>
        <w:pStyle w:val="FirstParagraph"/>
      </w:pPr>
      <w:r>
        <w:t xml:space="preserve">Favorable reserve development was a major contributor to Q1 profitability, particularly in auto. Management argued that 2023 and 2024 accident years developed better than originally expected, while maintaining that 2025 reserves remain appropriately set.</w:t>
      </w:r>
    </w:p>
    <w:p>
      <w:pPr>
        <w:pStyle w:val="BodyText"/>
      </w:pPr>
      <w:r>
        <w:t xml:space="preserve">That makes Q2 reserve development a potentially consequential swing factor.</w:t>
      </w:r>
    </w:p>
    <w:p>
      <w:pPr>
        <w:pStyle w:val="Compact"/>
        <w:numPr>
          <w:ilvl w:val="0"/>
          <w:numId w:val="1006"/>
        </w:numPr>
      </w:pPr>
      <w:r>
        <w:rPr>
          <w:b/>
          <w:bCs/>
        </w:rPr>
        <w:t xml:space="preserve">Positive outcome:</w:t>
      </w:r>
      <w:r>
        <w:t xml:space="preserve"> </w:t>
      </w:r>
      <w:r>
        <w:t xml:space="preserve">Further favorable development reinforces confidence in claims handling, reserving conservatism, and realized loss-cost trends.</w:t>
      </w:r>
    </w:p>
    <w:p>
      <w:pPr>
        <w:pStyle w:val="Compact"/>
        <w:numPr>
          <w:ilvl w:val="0"/>
          <w:numId w:val="1006"/>
        </w:numPr>
      </w:pPr>
      <w:r>
        <w:rPr>
          <w:b/>
          <w:bCs/>
        </w:rPr>
        <w:t xml:space="preserve">Neutral outcome:</w:t>
      </w:r>
      <w:r>
        <w:t xml:space="preserve"> </w:t>
      </w:r>
      <w:r>
        <w:t xml:space="preserve">Little development is not necessarily negative, but it would make comparisons to Q1 less favorable.</w:t>
      </w:r>
    </w:p>
    <w:p>
      <w:pPr>
        <w:pStyle w:val="Compact"/>
        <w:numPr>
          <w:ilvl w:val="0"/>
          <w:numId w:val="1006"/>
        </w:numPr>
      </w:pPr>
      <w:r>
        <w:rPr>
          <w:b/>
          <w:bCs/>
        </w:rPr>
        <w:t xml:space="preserve">Negative outcome:</w:t>
      </w:r>
      <w:r>
        <w:t xml:space="preserve"> </w:t>
      </w:r>
      <w:r>
        <w:t xml:space="preserve">Any adverse development would be a clear surprise and could challenge the narrative that underwriting profitability improved faster than previously estimated.</w:t>
      </w:r>
    </w:p>
    <w:p>
      <w:pPr>
        <w:pStyle w:val="FirstParagraph"/>
      </w:pPr>
      <w:r>
        <w:t xml:space="preserve">Investors should avoid annualizing reserve releases. The cleaner signal is the</w:t>
      </w:r>
      <w:r>
        <w:t xml:space="preserve"> </w:t>
      </w:r>
      <w:r>
        <w:rPr>
          <w:b/>
          <w:bCs/>
        </w:rPr>
        <w:t xml:space="preserve">underlying combined ratio excluding reserve re-estimates</w:t>
      </w:r>
      <w:r>
        <w:t xml:space="preserve">.</w:t>
      </w:r>
    </w:p>
    <w:bookmarkEnd w:id="14"/>
    <w:bookmarkStart w:id="15" w:name="Xcdc9defd3b2f55595ed7485ca29e366502009d7"/>
    <w:p>
      <w:pPr>
        <w:pStyle w:val="Heading3"/>
      </w:pPr>
      <w:r>
        <w:t xml:space="preserve">4. Capital deployment and the new CFO</w:t>
      </w:r>
    </w:p>
    <w:p>
      <w:pPr>
        <w:pStyle w:val="FirstParagraph"/>
      </w:pPr>
      <w:r>
        <w:t xml:space="preserve">Allstate completed its prior</w:t>
      </w:r>
      <w:r>
        <w:t xml:space="preserve"> </w:t>
      </w:r>
      <m:oMath>
        <m:r>
          <m:t>1.5</m:t>
        </m:r>
        <m:r>
          <m:t>b</m:t>
        </m:r>
        <m:r>
          <m:t>i</m:t>
        </m:r>
        <m:r>
          <m:t>l</m:t>
        </m:r>
        <m:r>
          <m:t>l</m:t>
        </m:r>
        <m:r>
          <m:t>i</m:t>
        </m:r>
        <m:r>
          <m:t>o</m:t>
        </m:r>
        <m:r>
          <m:t>n</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t>i</m:t>
        </m:r>
        <m:r>
          <m:t>n</m:t>
        </m:r>
        <m:r>
          <m:t>Q</m:t>
        </m:r>
        <m:r>
          <m:t>1</m:t>
        </m:r>
        <m:r>
          <m:t>a</m:t>
        </m:r>
        <m:r>
          <m:t>n</m:t>
        </m:r>
        <m:r>
          <m:t>d</m:t>
        </m:r>
        <m:r>
          <m:t>i</m:t>
        </m:r>
        <m:r>
          <m:t>n</m:t>
        </m:r>
        <m:r>
          <m:t>i</m:t>
        </m:r>
        <m:r>
          <m:t>t</m:t>
        </m:r>
        <m:r>
          <m:t>i</m:t>
        </m:r>
        <m:r>
          <m:t>a</m:t>
        </m:r>
        <m:r>
          <m:t>t</m:t>
        </m:r>
        <m:r>
          <m:t>e</m:t>
        </m:r>
        <m:r>
          <m:t>d</m:t>
        </m:r>
        <m:r>
          <m:t>a</m:t>
        </m:r>
        <m:r>
          <m:t>n</m:t>
        </m:r>
        <m:r>
          <m:t>e</m:t>
        </m:r>
        <m:r>
          <m:t>w</m:t>
        </m:r>
        <m:r>
          <m:rPr>
            <m:sty m:val="p"/>
          </m:rPr>
          <m:t>*</m:t>
        </m:r>
        <m:r>
          <m:rPr>
            <m:sty m:val="p"/>
          </m:rPr>
          <m:t>*</m:t>
        </m:r>
      </m:oMath>
      <w:r>
        <w:t xml:space="preserve">4 billion** authorization. Management returned</w:t>
      </w:r>
      <w:r>
        <w:t xml:space="preserve"> </w:t>
      </w:r>
      <w:r>
        <w:rPr>
          <w:b/>
          <w:bCs/>
        </w:rPr>
        <w:t xml:space="preserve">$881 million</w:t>
      </w:r>
      <w:r>
        <w:t xml:space="preserve"> </w:t>
      </w:r>
      <w:r>
        <w:t xml:space="preserve">to shareholders in Q1 through dividends and repurchases, and indicated that it had accelerated buyback activity.</w:t>
      </w:r>
    </w:p>
    <w:p>
      <w:pPr>
        <w:pStyle w:val="BodyText"/>
      </w:pPr>
      <w:r>
        <w:t xml:space="preserve">Q2 should clarify whether the company continued to repurchase stock aggressively despite catastrophe losses and ongoing organic-growth investment.</w:t>
      </w:r>
    </w:p>
    <w:p>
      <w:pPr>
        <w:pStyle w:val="BodyText"/>
      </w:pPr>
      <w:r>
        <w:t xml:space="preserve">The call also comes immediately after</w:t>
      </w:r>
      <w:r>
        <w:t xml:space="preserve"> </w:t>
      </w:r>
      <w:r>
        <w:rPr>
          <w:b/>
          <w:bCs/>
        </w:rPr>
        <w:t xml:space="preserve">Chris Lown became CFO on August 3</w:t>
      </w:r>
      <w:r>
        <w:t xml:space="preserve">, succeeding interim CFO John Dugenske. This should not change the near-term earnings outlook, but investors may listen for Lown’s perspective on:</w:t>
      </w:r>
    </w:p>
    <w:p>
      <w:pPr>
        <w:pStyle w:val="Compact"/>
        <w:numPr>
          <w:ilvl w:val="0"/>
          <w:numId w:val="1007"/>
        </w:numPr>
      </w:pPr>
      <w:r>
        <w:t xml:space="preserve">buyback pacing,</w:t>
      </w:r>
    </w:p>
    <w:p>
      <w:pPr>
        <w:pStyle w:val="Compact"/>
        <w:numPr>
          <w:ilvl w:val="0"/>
          <w:numId w:val="1007"/>
        </w:numPr>
      </w:pPr>
      <w:r>
        <w:t xml:space="preserve">holding-company liquidity,</w:t>
      </w:r>
    </w:p>
    <w:p>
      <w:pPr>
        <w:pStyle w:val="Compact"/>
        <w:numPr>
          <w:ilvl w:val="0"/>
          <w:numId w:val="1007"/>
        </w:numPr>
      </w:pPr>
      <w:r>
        <w:t xml:space="preserve">investment-portfolio risk,</w:t>
      </w:r>
    </w:p>
    <w:p>
      <w:pPr>
        <w:pStyle w:val="Compact"/>
        <w:numPr>
          <w:ilvl w:val="0"/>
          <w:numId w:val="1007"/>
        </w:numPr>
      </w:pPr>
      <w:r>
        <w:t xml:space="preserve">the balance between growth capital and shareholder distributions, and</w:t>
      </w:r>
    </w:p>
    <w:p>
      <w:pPr>
        <w:pStyle w:val="Compact"/>
        <w:numPr>
          <w:ilvl w:val="0"/>
          <w:numId w:val="1007"/>
        </w:numPr>
      </w:pPr>
      <w:r>
        <w:t xml:space="preserve">the role of acquisitions in Protection Services.</w:t>
      </w:r>
    </w:p>
    <w:bookmarkEnd w:id="15"/>
    <w:bookmarkEnd w:id="16"/>
    <w:bookmarkStart w:id="20" w:name="other-items-likely-to-matter"/>
    <w:p>
      <w:pPr>
        <w:pStyle w:val="Heading2"/>
      </w:pPr>
      <w:r>
        <w:t xml:space="preserve">Other items likely to matter</w:t>
      </w:r>
    </w:p>
    <w:bookmarkStart w:id="17" w:name="Xedbbf3d78faa150cb98797b75420ce355f757a5"/>
    <w:p>
      <w:pPr>
        <w:pStyle w:val="Heading3"/>
      </w:pPr>
      <w:r>
        <w:t xml:space="preserve">Investment income should remain a meaningful earnings support</w:t>
      </w:r>
    </w:p>
    <w:p>
      <w:pPr>
        <w:pStyle w:val="FirstParagraph"/>
      </w:pPr>
      <w:r>
        <w:t xml:space="preserve">Net investment income rose nearly 10% year over year in Q1, supported by larger investment balances and higher fixed-income yields. This is an important offset to catastrophe volatility and a differentiator versus the period when low rates constrained insurer earnings power.</w:t>
      </w:r>
    </w:p>
    <w:p>
      <w:pPr>
        <w:pStyle w:val="BodyText"/>
      </w:pPr>
      <w:r>
        <w:t xml:space="preserve">The main watch item is whether investment income continues to grow without an outsized offset from realized or mark-to-market investment losses.</w:t>
      </w:r>
    </w:p>
    <w:bookmarkEnd w:id="17"/>
    <w:bookmarkStart w:id="18" w:name="X4c9bd47bf835978f95243c6d5705cbaa56f511d"/>
    <w:p>
      <w:pPr>
        <w:pStyle w:val="Heading3"/>
      </w:pPr>
      <w:r>
        <w:t xml:space="preserve">Homeowners remains the strategic upside—and catastrophe-risk center</w:t>
      </w:r>
    </w:p>
    <w:p>
      <w:pPr>
        <w:pStyle w:val="FirstParagraph"/>
      </w:pPr>
      <w:r>
        <w:t xml:space="preserve">Management views homeowners as an underappreciated growth asset, citing favorable profitability, competitive openings, and demand for more comprehensive property protection. The issue is that the same segment is the company’s primary exposure to severe-weather volatility.</w:t>
      </w:r>
    </w:p>
    <w:p>
      <w:pPr>
        <w:pStyle w:val="BodyText"/>
      </w:pPr>
      <w:r>
        <w:t xml:space="preserve">Q2 will test that proposition. A strong underlying homeowners result despite $1.72 billion of quarterly catastrophe losses would support the view that Allstate’s reinsurance, pricing, underwriting, and risk-selection actions have improved the business structurally.</w:t>
      </w:r>
    </w:p>
    <w:bookmarkEnd w:id="18"/>
    <w:bookmarkStart w:id="19" w:name="Xebd2a4286c64a281761aade52c85ddc6cd138a1"/>
    <w:p>
      <w:pPr>
        <w:pStyle w:val="Heading3"/>
      </w:pPr>
      <w:r>
        <w:t xml:space="preserve">Protection Services is a smaller but valuable diversification lever</w:t>
      </w:r>
    </w:p>
    <w:p>
      <w:pPr>
        <w:pStyle w:val="FirstParagraph"/>
      </w:pPr>
      <w:r>
        <w:t xml:space="preserve">Allstate Protection Plans was growing revenue at a double-digit rate in Q1, though profitability was modestly pressured by higher claims costs. Investors should watch whether international expansion, retailer partnerships, and embedded-protection offerings continue to support revenue and earnings growth outside the core personal-lines insurance franchise.</w:t>
      </w:r>
    </w:p>
    <w:bookmarkEnd w:id="19"/>
    <w:bookmarkEnd w:id="20"/>
    <w:bookmarkStart w:id="21" w:name="X31ae231379c2469820ce98cef56e857ce68e0ff"/>
    <w:p>
      <w:pPr>
        <w:pStyle w:val="Heading2"/>
      </w:pPr>
      <w:r>
        <w:t xml:space="preserve">What would constitute a positive or negative report?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What it would likely mean</w:t>
            </w:r>
          </w:p>
        </w:tc>
      </w:tr>
      <w:tr>
        <w:tc>
          <w:tcPr/>
          <w:p>
            <w:pPr>
              <w:pStyle w:val="Compact"/>
            </w:pPr>
            <w:r>
              <w:rPr>
                <w:b/>
                <w:bCs/>
              </w:rPr>
              <w:t xml:space="preserve">Positive</w:t>
            </w:r>
          </w:p>
        </w:tc>
        <w:tc>
          <w:tcPr/>
          <w:p>
            <w:pPr>
              <w:pStyle w:val="Compact"/>
            </w:pPr>
            <w:r>
              <w:t xml:space="preserve">Catastrophes align with the disclosed $1.72bn estimate; underlying underwriting margins remain strong; policy growth accelerates; reserve development is at least neutral-to-favorable; investment income rises; buybacks remain robust.</w:t>
            </w:r>
          </w:p>
        </w:tc>
      </w:tr>
      <w:tr>
        <w:tc>
          <w:tcPr/>
          <w:p>
            <w:pPr>
              <w:pStyle w:val="Compact"/>
            </w:pPr>
            <w:r>
              <w:rPr>
                <w:b/>
                <w:bCs/>
              </w:rPr>
              <w:t xml:space="preserve">Mixed</w:t>
            </w:r>
          </w:p>
        </w:tc>
        <w:tc>
          <w:tcPr/>
          <w:p>
            <w:pPr>
              <w:pStyle w:val="Compact"/>
            </w:pPr>
            <w:r>
              <w:t xml:space="preserve">Results absorb catastrophe losses as expected, but underlying margins soften as Allstate spends more to grow or reduces rates in selected markets.</w:t>
            </w:r>
          </w:p>
        </w:tc>
      </w:tr>
      <w:tr>
        <w:tc>
          <w:tcPr/>
          <w:p>
            <w:pPr>
              <w:pStyle w:val="Compact"/>
            </w:pPr>
            <w:r>
              <w:rPr>
                <w:b/>
                <w:bCs/>
              </w:rPr>
              <w:t xml:space="preserve">Negative</w:t>
            </w:r>
          </w:p>
        </w:tc>
        <w:tc>
          <w:tcPr/>
          <w:p>
            <w:pPr>
              <w:pStyle w:val="Compact"/>
            </w:pPr>
            <w:r>
              <w:t xml:space="preserve">Reported results are weaker than catastrophe losses alone would imply because of deterioration in underlying loss costs, elevated expenses, weaker retention, adverse reserve development, or a reduced appetite for buybacks.</w:t>
            </w:r>
          </w:p>
        </w:tc>
      </w:tr>
    </w:tbl>
    <w:bookmarkEnd w:id="21"/>
    <w:bookmarkStart w:id="22" w:name="bottom-line"/>
    <w:p>
      <w:pPr>
        <w:pStyle w:val="Heading2"/>
      </w:pPr>
      <w:r>
        <w:t xml:space="preserve">Bottom line</w:t>
      </w:r>
    </w:p>
    <w:p>
      <w:pPr>
        <w:pStyle w:val="FirstParagraph"/>
      </w:pPr>
      <w:r>
        <w:t xml:space="preserve">Allstate’s Q2 release is primarily a</w:t>
      </w:r>
      <w:r>
        <w:t xml:space="preserve"> </w:t>
      </w:r>
      <w:r>
        <w:rPr>
          <w:b/>
          <w:bCs/>
        </w:rPr>
        <w:t xml:space="preserve">quality-of-earnings and growth-durability test</w:t>
      </w:r>
      <w:r>
        <w:t xml:space="preserve">. The catastrophe impact is largely known and, at $1.72 billion, compares favorably with the $1.99 billion recorded in Q2 2025. The more important question is whether the company can preserve strong underlying profitability while converting its enhanced pricing, product, distribution, and marketing capabilities into sustained market-share gains.</w:t>
      </w:r>
    </w:p>
    <w:p>
      <w:pPr>
        <w:pStyle w:val="BodyText"/>
      </w:pPr>
      <w:r>
        <w:t xml:space="preserve">A constructive report would show that catastrophe losses are manageable within the company’s risk framework, that policy growth remains broad-based, and that management still has enough confidence in forward returns to maintain an aggressive capital-return posture.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2026-08-05T01:23:20Z</dcterms:created>
  <dcterms:modified xsi:type="dcterms:W3CDTF">2026-08-05T01:23:20Z</dcterms:modified>
</cp:coreProperties>
</file>

<file path=docProps/custom.xml><?xml version="1.0" encoding="utf-8"?>
<Properties xmlns="http://schemas.openxmlformats.org/officeDocument/2006/custom-properties" xmlns:vt="http://schemas.openxmlformats.org/officeDocument/2006/docPropsVTypes"/>
</file>