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Allstate Corporation (ALL) — Q2 2026 Earnings Preview</w:t>
      </w:r>
    </w:p>
    <w:p>
      <w:r>
        <w:rPr>
          <w:rFonts w:ascii="Calibri" w:hAnsi="Calibri"/>
          <w:b/>
          <w:color w:val="525866"/>
          <w:sz w:val="22"/>
        </w:rPr>
        <w:t xml:space="preserve">Ticker: </w:t>
      </w:r>
      <w:r>
        <w:rPr>
          <w:rFonts w:ascii="Calibri" w:hAnsi="Calibri"/>
          <w:color w:val="525866"/>
          <w:sz w:val="22"/>
        </w:rPr>
        <w:t xml:space="preserve">ALL  </w:t>
      </w:r>
      <w:r>
        <w:rPr>
          <w:rFonts w:ascii="Calibri" w:hAnsi="Calibri"/>
          <w:b/>
          <w:color w:val="525866"/>
          <w:sz w:val="22"/>
        </w:rPr>
        <w:t xml:space="preserve">Earnings Date: </w:t>
      </w:r>
      <w:r>
        <w:rPr>
          <w:rFonts w:ascii="Calibri" w:hAnsi="Calibri"/>
          <w:color w:val="525866"/>
          <w:sz w:val="22"/>
        </w:rPr>
        <w:t xml:space="preserve">August 6, 2026  </w:t>
      </w:r>
      <w:r>
        <w:rPr>
          <w:rFonts w:ascii="Calibri" w:hAnsi="Calibri"/>
          <w:b/>
          <w:color w:val="525866"/>
          <w:sz w:val="22"/>
        </w:rPr>
        <w:t xml:space="preserve">Prepared: </w:t>
      </w:r>
      <w:r>
        <w:rPr>
          <w:rFonts w:ascii="Calibri" w:hAnsi="Calibri"/>
          <w:color w:val="525866"/>
          <w:sz w:val="22"/>
        </w:rPr>
        <w:t xml:space="preserve">August 4, 2026  </w:t>
      </w:r>
      <w:r>
        <w:rPr>
          <w:rFonts w:ascii="Calibri" w:hAnsi="Calibri"/>
          <w:b/>
          <w:color w:val="525866"/>
          <w:sz w:val="22"/>
        </w:rPr>
        <w:t xml:space="preserve">Last Reported Period: </w:t>
      </w:r>
      <w:r>
        <w:rPr>
          <w:rFonts w:ascii="Calibri" w:hAnsi="Calibri"/>
          <w:color w:val="525866"/>
          <w:sz w:val="22"/>
        </w:rPr>
        <w:t>Q1 2026 (reported April 29,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into Q2 2026 is mixed — the bar is meaningfully higher than a quarter ago given Q1's massive beat, but the single biggest swing factor is </w:t>
      </w:r>
      <w:r>
        <w:rPr>
          <w:rFonts w:ascii="Calibri" w:hAnsi="Calibri"/>
          <w:b/>
          <w:color w:val="525866"/>
          <w:sz w:val="22"/>
          <w:u w:val="single"/>
        </w:rPr>
        <w:t>catastrophe losses</w:t>
      </w:r>
      <w:r>
        <w:rPr>
          <w:rFonts w:ascii="Calibri" w:hAnsi="Calibri"/>
          <w:b/>
          <w:color w:val="525866"/>
          <w:sz w:val="22"/>
        </w:rPr>
        <w:t>, where Allstate has already disclosed $1.72 billion pre-tax for the quarter, well above what consensus had embedded.</w:t>
      </w:r>
    </w:p>
    <w:p>
      <w:r>
        <w:rPr>
          <w:rFonts w:ascii="Calibri" w:hAnsi="Calibri"/>
          <w:color w:val="525866"/>
          <w:sz w:val="22"/>
        </w:rPr>
        <w:t xml:space="preserve">Heading into Q2 2026, Allstate faces a consensus bar that has been reset higher following Q1's blowout print ($10.65 operating EPS vs. ~$7.11 consensus), yet the quarter is already partially de-risked by the company's own catastrophe disclosures. The July 16 8-K revealed $1.72 billion in Q2 catastrophe losses ($1.36 billion after-tax), a figure that is materially above what the street had modeled and will weigh heavily on the reported combined ratio — consensus currently sits at ~91.9% for the Allstate Protection combined ratio, but the cat load alone implies significant pressure. Management's tone coming out of Q1 was constructive: pricing moved to net neutral across the book, new business hit a record across all channels, and the company signaled a deliberate pivot from margin restoration to growth acceleration. Estimate revisions since Q1 have been mixed — the Q2 operating EPS consensus has actually </w:t>
      </w:r>
      <w:r>
        <w:rPr>
          <w:rFonts w:ascii="Calibri" w:hAnsi="Calibri"/>
          <w:b/>
          <w:color w:val="525866"/>
          <w:sz w:val="22"/>
        </w:rPr>
        <w:t>declined</w:t>
      </w:r>
      <w:r>
        <w:rPr>
          <w:rFonts w:ascii="Calibri" w:hAnsi="Calibri"/>
          <w:color w:val="525866"/>
          <w:sz w:val="22"/>
        </w:rPr>
        <w:t xml:space="preserve"> from $4.75 to $6.03 post-Q1 (reflecting the higher bar), while the FY2026 consensus ticked up modestly from $29.81 to $31.46, suggesting the street sees Q2 as a cat-heavy quarter within an otherwise strong year. The stock has rallied ~24% since the Q1 print, pricing in continued profitability strength, which means any miss on the underlying combined ratio or a softer-than-expected policy growth number could trigger a pullback despite the cat headwind being well-telegraphed. The wildcard is the new CFO transition (Christian Lown effective August 3) and whether management uses the call to reset guidance or provide incremental color on the NY/NJ regulatory opportunity.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The combined ratio is the higher-stakes KPI — the disclosed $1.72B Q2 cat load will push the reported combined ratio well above the ~91.9% consensus, making the </w:t>
      </w:r>
      <w:r>
        <w:rPr>
          <w:rFonts w:ascii="Calibri" w:hAnsi="Calibri"/>
          <w:b/>
          <w:color w:val="525866"/>
          <w:sz w:val="22"/>
          <w:u w:val="single"/>
        </w:rPr>
        <w:t>underlying combined ratio</w:t>
      </w:r>
      <w:r>
        <w:rPr>
          <w:rFonts w:ascii="Calibri" w:hAnsi="Calibri"/>
          <w:b/>
          <w:color w:val="525866"/>
          <w:sz w:val="22"/>
        </w:rPr>
        <w:t xml:space="preserve"> and policy-in-force growth the real scorecard for the quarter.</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$10.65</w:t>
            </w:r>
          </w:p>
        </w:tc>
        <w:tc>
          <w:tcPr>
            <w:tcW w:type="dxa" w:w="1234"/>
          </w:tcPr>
          <w:p>
            <w:r>
              <w:rPr>
                <w:rFonts w:ascii="Calibri" w:hAnsi="Calibri"/>
                <w:sz w:val="22"/>
              </w:rPr>
              <w:t>$5.94</w:t>
            </w:r>
          </w:p>
        </w:tc>
        <w:tc>
          <w:tcPr>
            <w:tcW w:type="dxa" w:w="1234"/>
          </w:tcPr>
          <w:p>
            <w:r>
              <w:rPr>
                <w:rFonts w:ascii="Calibri" w:hAnsi="Calibri"/>
                <w:sz w:val="22"/>
              </w:rPr>
              <w:t>$6.03</w:t>
            </w:r>
          </w:p>
        </w:tc>
        <w:tc>
          <w:tcPr>
            <w:tcW w:type="dxa" w:w="1234"/>
          </w:tcPr>
          <w:p>
            <w:r>
              <w:rPr>
                <w:rFonts w:ascii="Calibri" w:hAnsi="Calibri"/>
                <w:sz w:val="22"/>
              </w:rPr>
              <w:t>+1.5%</w:t>
            </w:r>
          </w:p>
        </w:tc>
        <w:tc>
          <w:tcPr>
            <w:tcW w:type="dxa" w:w="1234"/>
          </w:tcPr>
          <w:p>
            <w:r>
              <w:rPr>
                <w:rFonts w:ascii="Calibri" w:hAnsi="Calibri"/>
                <w:sz w:val="22"/>
              </w:rPr>
              <w:t>No explicit quarterly guidance provided</w:t>
            </w:r>
          </w:p>
        </w:tc>
        <w:tc>
          <w:tcPr>
            <w:tcW w:type="dxa" w:w="1234"/>
          </w:tcPr>
          <w:p>
            <w:r>
              <w:rPr>
                <w:rFonts w:ascii="Calibri" w:hAnsi="Calibri"/>
                <w:sz w:val="22"/>
              </w:rPr>
              <w:t>N/A</w:t>
            </w:r>
          </w:p>
        </w:tc>
      </w:tr>
      <w:tr>
        <w:tc>
          <w:tcPr>
            <w:tcW w:type="dxa" w:w="1234"/>
          </w:tcPr>
          <w:p>
            <w:r>
              <w:rPr>
                <w:rFonts w:ascii="Calibri" w:hAnsi="Calibri"/>
                <w:sz w:val="22"/>
              </w:rPr>
              <w:t>Premium Revenue (Allstate Protection)</w:t>
            </w:r>
          </w:p>
        </w:tc>
        <w:tc>
          <w:tcPr>
            <w:tcW w:type="dxa" w:w="1234"/>
          </w:tcPr>
          <w:p>
            <w:r>
              <w:rPr>
                <w:rFonts w:ascii="Calibri" w:hAnsi="Calibri"/>
                <w:sz w:val="22"/>
              </w:rPr>
              <w:t>$15.55B</w:t>
            </w:r>
          </w:p>
        </w:tc>
        <w:tc>
          <w:tcPr>
            <w:tcW w:type="dxa" w:w="1234"/>
          </w:tcPr>
          <w:p>
            <w:r>
              <w:rPr>
                <w:rFonts w:ascii="Calibri" w:hAnsi="Calibri"/>
                <w:sz w:val="22"/>
              </w:rPr>
              <w:t>$15.28B</w:t>
            </w:r>
          </w:p>
        </w:tc>
        <w:tc>
          <w:tcPr>
            <w:tcW w:type="dxa" w:w="1234"/>
          </w:tcPr>
          <w:p>
            <w:r>
              <w:rPr>
                <w:rFonts w:ascii="Calibri" w:hAnsi="Calibri"/>
                <w:sz w:val="22"/>
              </w:rPr>
              <w:t>$15.83B</w:t>
            </w:r>
          </w:p>
        </w:tc>
        <w:tc>
          <w:tcPr>
            <w:tcW w:type="dxa" w:w="1234"/>
          </w:tcPr>
          <w:p>
            <w:r>
              <w:rPr>
                <w:rFonts w:ascii="Calibri" w:hAnsi="Calibri"/>
                <w:sz w:val="22"/>
              </w:rPr>
              <w:t>+3.6%</w:t>
            </w:r>
          </w:p>
        </w:tc>
        <w:tc>
          <w:tcPr>
            <w:tcW w:type="dxa" w:w="1234"/>
          </w:tcPr>
          <w:p>
            <w:r>
              <w:rPr>
                <w:rFonts w:ascii="Calibri" w:hAnsi="Calibri"/>
                <w:sz w:val="22"/>
              </w:rPr>
              <w:t>No explicit quarterly guidance provided</w:t>
            </w:r>
          </w:p>
        </w:tc>
        <w:tc>
          <w:tcPr>
            <w:tcW w:type="dxa" w:w="1234"/>
          </w:tcPr>
          <w:p>
            <w:r>
              <w:rPr>
                <w:rFonts w:ascii="Calibri" w:hAnsi="Calibri"/>
                <w:sz w:val="22"/>
              </w:rPr>
              <w:t>N/A</w:t>
            </w:r>
          </w:p>
        </w:tc>
      </w:tr>
      <w:tr>
        <w:tc>
          <w:tcPr>
            <w:tcW w:type="dxa" w:w="1234"/>
          </w:tcPr>
          <w:p>
            <w:r>
              <w:rPr>
                <w:rFonts w:ascii="Calibri" w:hAnsi="Calibri"/>
                <w:sz w:val="22"/>
              </w:rPr>
              <w:t>Net Written Premium (Allstate Protection)</w:t>
            </w:r>
          </w:p>
        </w:tc>
        <w:tc>
          <w:tcPr>
            <w:tcW w:type="dxa" w:w="1234"/>
          </w:tcPr>
          <w:p>
            <w:r>
              <w:rPr>
                <w:rFonts w:ascii="Calibri" w:hAnsi="Calibri"/>
                <w:sz w:val="22"/>
              </w:rPr>
              <w:t>$14.63B</w:t>
            </w:r>
          </w:p>
        </w:tc>
        <w:tc>
          <w:tcPr>
            <w:tcW w:type="dxa" w:w="1234"/>
          </w:tcPr>
          <w:p>
            <w:r>
              <w:rPr>
                <w:rFonts w:ascii="Calibri" w:hAnsi="Calibri"/>
                <w:sz w:val="22"/>
              </w:rPr>
              <w:t>$15.05B</w:t>
            </w:r>
          </w:p>
        </w:tc>
        <w:tc>
          <w:tcPr>
            <w:tcW w:type="dxa" w:w="1234"/>
          </w:tcPr>
          <w:p>
            <w:r>
              <w:rPr>
                <w:rFonts w:ascii="Calibri" w:hAnsi="Calibri"/>
                <w:sz w:val="22"/>
              </w:rPr>
              <w:t>$15.57B</w:t>
            </w:r>
          </w:p>
        </w:tc>
        <w:tc>
          <w:tcPr>
            <w:tcW w:type="dxa" w:w="1234"/>
          </w:tcPr>
          <w:p>
            <w:r>
              <w:rPr>
                <w:rFonts w:ascii="Calibri" w:hAnsi="Calibri"/>
                <w:sz w:val="22"/>
              </w:rPr>
              <w:t>+3.5%</w:t>
            </w:r>
          </w:p>
        </w:tc>
        <w:tc>
          <w:tcPr>
            <w:tcW w:type="dxa" w:w="1234"/>
          </w:tcPr>
          <w:p>
            <w:r>
              <w:rPr>
                <w:rFonts w:ascii="Calibri" w:hAnsi="Calibri"/>
                <w:sz w:val="22"/>
              </w:rPr>
              <w:t>No explicit quarterly guidance provided</w:t>
            </w:r>
          </w:p>
        </w:tc>
        <w:tc>
          <w:tcPr>
            <w:tcW w:type="dxa" w:w="1234"/>
          </w:tcPr>
          <w:p>
            <w:r>
              <w:rPr>
                <w:rFonts w:ascii="Calibri" w:hAnsi="Calibri"/>
                <w:sz w:val="22"/>
              </w:rPr>
              <w:t>N/A</w:t>
            </w:r>
          </w:p>
        </w:tc>
      </w:tr>
      <w:tr>
        <w:tc>
          <w:tcPr>
            <w:tcW w:type="dxa" w:w="1234"/>
          </w:tcPr>
          <w:p>
            <w:r>
              <w:rPr>
                <w:rFonts w:ascii="Calibri" w:hAnsi="Calibri"/>
                <w:sz w:val="22"/>
              </w:rPr>
              <w:t>Combined Ratio — Allstate Protection (%)</w:t>
            </w:r>
          </w:p>
        </w:tc>
        <w:tc>
          <w:tcPr>
            <w:tcW w:type="dxa" w:w="1234"/>
          </w:tcPr>
          <w:p>
            <w:r>
              <w:rPr>
                <w:rFonts w:ascii="Calibri" w:hAnsi="Calibri"/>
                <w:sz w:val="22"/>
              </w:rPr>
              <w:t>82.0%</w:t>
            </w:r>
          </w:p>
        </w:tc>
        <w:tc>
          <w:tcPr>
            <w:tcW w:type="dxa" w:w="1234"/>
          </w:tcPr>
          <w:p>
            <w:r>
              <w:rPr>
                <w:rFonts w:ascii="Calibri" w:hAnsi="Calibri"/>
                <w:sz w:val="22"/>
              </w:rPr>
              <w:t>91.1%</w:t>
            </w:r>
          </w:p>
        </w:tc>
        <w:tc>
          <w:tcPr>
            <w:tcW w:type="dxa" w:w="1234"/>
          </w:tcPr>
          <w:p>
            <w:r>
              <w:rPr>
                <w:rFonts w:ascii="Calibri" w:hAnsi="Calibri"/>
                <w:sz w:val="22"/>
              </w:rPr>
              <w:t>91.9%</w:t>
            </w:r>
          </w:p>
        </w:tc>
        <w:tc>
          <w:tcPr>
            <w:tcW w:type="dxa" w:w="1234"/>
          </w:tcPr>
          <w:p>
            <w:r>
              <w:rPr>
                <w:rFonts w:ascii="Calibri" w:hAnsi="Calibri"/>
                <w:sz w:val="22"/>
              </w:rPr>
              <w:t>+0.8 pts</w:t>
            </w:r>
          </w:p>
        </w:tc>
        <w:tc>
          <w:tcPr>
            <w:tcW w:type="dxa" w:w="1234"/>
          </w:tcPr>
          <w:p>
            <w:r>
              <w:rPr>
                <w:rFonts w:ascii="Calibri" w:hAnsi="Calibri"/>
                <w:sz w:val="22"/>
              </w:rPr>
              <w:t>No explicit quarterly guidance; FY target mid-90s auto / low-90s HO</w:t>
            </w:r>
          </w:p>
        </w:tc>
        <w:tc>
          <w:tcPr>
            <w:tcW w:type="dxa" w:w="1234"/>
          </w:tcPr>
          <w:p>
            <w:r>
              <w:rPr>
                <w:rFonts w:ascii="Calibri" w:hAnsi="Calibri"/>
                <w:sz w:val="22"/>
              </w:rPr>
              <w:t>N/A (below FY target)</w:t>
            </w:r>
          </w:p>
        </w:tc>
      </w:tr>
      <w:tr>
        <w:tc>
          <w:tcPr>
            <w:tcW w:type="dxa" w:w="1234"/>
          </w:tcPr>
          <w:p>
            <w:r>
              <w:rPr>
                <w:rFonts w:ascii="Calibri" w:hAnsi="Calibri"/>
                <w:sz w:val="22"/>
              </w:rPr>
              <w:t>Combined Ratio — Auto (%)</w:t>
            </w:r>
          </w:p>
        </w:tc>
        <w:tc>
          <w:tcPr>
            <w:tcW w:type="dxa" w:w="1234"/>
          </w:tcPr>
          <w:p>
            <w:r>
              <w:rPr>
                <w:rFonts w:ascii="Calibri" w:hAnsi="Calibri"/>
                <w:sz w:val="22"/>
              </w:rPr>
              <w:t>81.9%</w:t>
            </w:r>
          </w:p>
        </w:tc>
        <w:tc>
          <w:tcPr>
            <w:tcW w:type="dxa" w:w="1234"/>
          </w:tcPr>
          <w:p>
            <w:r>
              <w:rPr>
                <w:rFonts w:ascii="Calibri" w:hAnsi="Calibri"/>
                <w:sz w:val="22"/>
              </w:rPr>
              <w:t>86.0%</w:t>
            </w:r>
          </w:p>
        </w:tc>
        <w:tc>
          <w:tcPr>
            <w:tcW w:type="dxa" w:w="1234"/>
          </w:tcPr>
          <w:p>
            <w:r>
              <w:rPr>
                <w:rFonts w:ascii="Calibri" w:hAnsi="Calibri"/>
                <w:sz w:val="22"/>
              </w:rPr>
              <w:t>90.5%</w:t>
            </w:r>
          </w:p>
        </w:tc>
        <w:tc>
          <w:tcPr>
            <w:tcW w:type="dxa" w:w="1234"/>
          </w:tcPr>
          <w:p>
            <w:r>
              <w:rPr>
                <w:rFonts w:ascii="Calibri" w:hAnsi="Calibri"/>
                <w:sz w:val="22"/>
              </w:rPr>
              <w:t>+4.5 pts</w:t>
            </w:r>
          </w:p>
        </w:tc>
        <w:tc>
          <w:tcPr>
            <w:tcW w:type="dxa" w:w="1234"/>
          </w:tcPr>
          <w:p>
            <w:r>
              <w:rPr>
                <w:rFonts w:ascii="Calibri" w:hAnsi="Calibri"/>
                <w:sz w:val="22"/>
              </w:rPr>
              <w:t>Mid-90s target (underlying)</w:t>
            </w:r>
          </w:p>
        </w:tc>
        <w:tc>
          <w:tcPr>
            <w:tcW w:type="dxa" w:w="1234"/>
          </w:tcPr>
          <w:p>
            <w:r>
              <w:rPr>
                <w:rFonts w:ascii="Calibri" w:hAnsi="Calibri"/>
                <w:sz w:val="22"/>
              </w:rPr>
              <w:t>~5 pts below target (favorable)</w:t>
            </w:r>
          </w:p>
        </w:tc>
      </w:tr>
      <w:tr>
        <w:tc>
          <w:tcPr>
            <w:tcW w:type="dxa" w:w="1234"/>
          </w:tcPr>
          <w:p>
            <w:r>
              <w:rPr>
                <w:rFonts w:ascii="Calibri" w:hAnsi="Calibri"/>
                <w:sz w:val="22"/>
              </w:rPr>
              <w:t>Combined Ratio — Homeowners (%)</w:t>
            </w:r>
          </w:p>
        </w:tc>
        <w:tc>
          <w:tcPr>
            <w:tcW w:type="dxa" w:w="1234"/>
          </w:tcPr>
          <w:p>
            <w:r>
              <w:rPr>
                <w:rFonts w:ascii="Calibri" w:hAnsi="Calibri"/>
                <w:sz w:val="22"/>
              </w:rPr>
              <w:t>83.5%</w:t>
            </w:r>
          </w:p>
        </w:tc>
        <w:tc>
          <w:tcPr>
            <w:tcW w:type="dxa" w:w="1234"/>
          </w:tcPr>
          <w:p>
            <w:r>
              <w:rPr>
                <w:rFonts w:ascii="Calibri" w:hAnsi="Calibri"/>
                <w:sz w:val="22"/>
              </w:rPr>
              <w:t>102.0%</w:t>
            </w:r>
          </w:p>
        </w:tc>
        <w:tc>
          <w:tcPr>
            <w:tcW w:type="dxa" w:w="1234"/>
          </w:tcPr>
          <w:p>
            <w:r>
              <w:rPr>
                <w:rFonts w:ascii="Calibri" w:hAnsi="Calibri"/>
                <w:sz w:val="22"/>
              </w:rPr>
              <w:t>95.4%</w:t>
            </w:r>
          </w:p>
        </w:tc>
        <w:tc>
          <w:tcPr>
            <w:tcW w:type="dxa" w:w="1234"/>
          </w:tcPr>
          <w:p>
            <w:r>
              <w:rPr>
                <w:rFonts w:ascii="Calibri" w:hAnsi="Calibri"/>
                <w:sz w:val="22"/>
              </w:rPr>
              <w:t>-6.6 pts</w:t>
            </w:r>
          </w:p>
        </w:tc>
        <w:tc>
          <w:tcPr>
            <w:tcW w:type="dxa" w:w="1234"/>
          </w:tcPr>
          <w:p>
            <w:r>
              <w:rPr>
                <w:rFonts w:ascii="Calibri" w:hAnsi="Calibri"/>
                <w:sz w:val="22"/>
              </w:rPr>
              <w:t>Low-90s target</w:t>
            </w:r>
          </w:p>
        </w:tc>
        <w:tc>
          <w:tcPr>
            <w:tcW w:type="dxa" w:w="1234"/>
          </w:tcPr>
          <w:p>
            <w:r>
              <w:rPr>
                <w:rFonts w:ascii="Calibri" w:hAnsi="Calibri"/>
                <w:sz w:val="22"/>
              </w:rPr>
              <w:t>~3.4 pts above target (cat-driven)</w:t>
            </w:r>
          </w:p>
        </w:tc>
      </w:tr>
      <w:tr>
        <w:tc>
          <w:tcPr>
            <w:tcW w:type="dxa" w:w="1234"/>
          </w:tcPr>
          <w:p>
            <w:r>
              <w:rPr>
                <w:rFonts w:ascii="Calibri" w:hAnsi="Calibri"/>
                <w:sz w:val="22"/>
              </w:rPr>
              <w:t>Underlying Combined Ratio — Auto (%)</w:t>
            </w:r>
          </w:p>
        </w:tc>
        <w:tc>
          <w:tcPr>
            <w:tcW w:type="dxa" w:w="1234"/>
          </w:tcPr>
          <w:p>
            <w:r>
              <w:rPr>
                <w:rFonts w:ascii="Calibri" w:hAnsi="Calibri"/>
                <w:sz w:val="22"/>
              </w:rPr>
              <w:t>89.5%</w:t>
            </w:r>
          </w:p>
        </w:tc>
        <w:tc>
          <w:tcPr>
            <w:tcW w:type="dxa" w:w="1234"/>
          </w:tcPr>
          <w:p>
            <w:r>
              <w:rPr>
                <w:rFonts w:ascii="Calibri" w:hAnsi="Calibri"/>
                <w:sz w:val="22"/>
              </w:rPr>
              <w:t>87.8%</w:t>
            </w:r>
          </w:p>
        </w:tc>
        <w:tc>
          <w:tcPr>
            <w:tcW w:type="dxa" w:w="1234"/>
          </w:tcPr>
          <w:p>
            <w:r>
              <w:rPr>
                <w:rFonts w:ascii="Calibri" w:hAnsi="Calibri"/>
                <w:sz w:val="22"/>
              </w:rPr>
              <w:t>89.5%</w:t>
            </w:r>
          </w:p>
        </w:tc>
        <w:tc>
          <w:tcPr>
            <w:tcW w:type="dxa" w:w="1234"/>
          </w:tcPr>
          <w:p>
            <w:r>
              <w:rPr>
                <w:rFonts w:ascii="Calibri" w:hAnsi="Calibri"/>
                <w:sz w:val="22"/>
              </w:rPr>
              <w:t>+1.7 pts</w:t>
            </w:r>
          </w:p>
        </w:tc>
        <w:tc>
          <w:tcPr>
            <w:tcW w:type="dxa" w:w="1234"/>
          </w:tcPr>
          <w:p>
            <w:r>
              <w:rPr>
                <w:rFonts w:ascii="Calibri" w:hAnsi="Calibri"/>
                <w:sz w:val="22"/>
              </w:rPr>
              <w:t>Mid-90s target</w:t>
            </w:r>
          </w:p>
        </w:tc>
        <w:tc>
          <w:tcPr>
            <w:tcW w:type="dxa" w:w="1234"/>
          </w:tcPr>
          <w:p>
            <w:r>
              <w:rPr>
                <w:rFonts w:ascii="Calibri" w:hAnsi="Calibri"/>
                <w:sz w:val="22"/>
              </w:rPr>
              <w:t>~5.5 pts below target (favorable)</w:t>
            </w:r>
          </w:p>
        </w:tc>
      </w:tr>
      <w:tr>
        <w:tc>
          <w:tcPr>
            <w:tcW w:type="dxa" w:w="1234"/>
          </w:tcPr>
          <w:p>
            <w:r>
              <w:rPr>
                <w:rFonts w:ascii="Calibri" w:hAnsi="Calibri"/>
                <w:sz w:val="22"/>
              </w:rPr>
              <w:t>Underlying Combined Ratio — Homeowners (%)</w:t>
            </w:r>
          </w:p>
        </w:tc>
        <w:tc>
          <w:tcPr>
            <w:tcW w:type="dxa" w:w="1234"/>
          </w:tcPr>
          <w:p>
            <w:r>
              <w:rPr>
                <w:rFonts w:ascii="Calibri" w:hAnsi="Calibri"/>
                <w:sz w:val="22"/>
              </w:rPr>
              <w:t>60.5%</w:t>
            </w:r>
          </w:p>
        </w:tc>
        <w:tc>
          <w:tcPr>
            <w:tcW w:type="dxa" w:w="1234"/>
          </w:tcPr>
          <w:p>
            <w:r>
              <w:rPr>
                <w:rFonts w:ascii="Calibri" w:hAnsi="Calibri"/>
                <w:sz w:val="22"/>
              </w:rPr>
              <w:t>58.6%</w:t>
            </w:r>
          </w:p>
        </w:tc>
        <w:tc>
          <w:tcPr>
            <w:tcW w:type="dxa" w:w="1234"/>
          </w:tcPr>
          <w:p>
            <w:r>
              <w:rPr>
                <w:rFonts w:ascii="Calibri" w:hAnsi="Calibri"/>
                <w:sz w:val="22"/>
              </w:rPr>
              <w:t>61.9%</w:t>
            </w:r>
          </w:p>
        </w:tc>
        <w:tc>
          <w:tcPr>
            <w:tcW w:type="dxa" w:w="1234"/>
          </w:tcPr>
          <w:p>
            <w:r>
              <w:rPr>
                <w:rFonts w:ascii="Calibri" w:hAnsi="Calibri"/>
                <w:sz w:val="22"/>
              </w:rPr>
              <w:t>+3.3 pts</w:t>
            </w:r>
          </w:p>
        </w:tc>
        <w:tc>
          <w:tcPr>
            <w:tcW w:type="dxa" w:w="1234"/>
          </w:tcPr>
          <w:p>
            <w:r>
              <w:rPr>
                <w:rFonts w:ascii="Calibri" w:hAnsi="Calibri"/>
                <w:sz w:val="22"/>
              </w:rPr>
              <w:t>Low-90s target</w:t>
            </w:r>
          </w:p>
        </w:tc>
        <w:tc>
          <w:tcPr>
            <w:tcW w:type="dxa" w:w="1234"/>
          </w:tcPr>
          <w:p>
            <w:r>
              <w:rPr>
                <w:rFonts w:ascii="Calibri" w:hAnsi="Calibri"/>
                <w:sz w:val="22"/>
              </w:rPr>
              <w:t>~30 pts below target (exceptional)</w:t>
            </w:r>
          </w:p>
        </w:tc>
      </w:tr>
      <w:tr>
        <w:tc>
          <w:tcPr>
            <w:tcW w:type="dxa" w:w="1234"/>
          </w:tcPr>
          <w:p>
            <w:r>
              <w:rPr>
                <w:rFonts w:ascii="Calibri" w:hAnsi="Calibri"/>
                <w:sz w:val="22"/>
              </w:rPr>
              <w:t>Auto Policies in Force (K)</w:t>
            </w:r>
          </w:p>
        </w:tc>
        <w:tc>
          <w:tcPr>
            <w:tcW w:type="dxa" w:w="1234"/>
          </w:tcPr>
          <w:p>
            <w:r>
              <w:rPr>
                <w:rFonts w:ascii="Calibri" w:hAnsi="Calibri"/>
                <w:sz w:val="22"/>
              </w:rPr>
              <w:t>25,758K</w:t>
            </w:r>
          </w:p>
        </w:tc>
        <w:tc>
          <w:tcPr>
            <w:tcW w:type="dxa" w:w="1234"/>
          </w:tcPr>
          <w:p>
            <w:r>
              <w:rPr>
                <w:rFonts w:ascii="Calibri" w:hAnsi="Calibri"/>
                <w:sz w:val="22"/>
              </w:rPr>
              <w:t>25,243K</w:t>
            </w:r>
          </w:p>
        </w:tc>
        <w:tc>
          <w:tcPr>
            <w:tcW w:type="dxa" w:w="1234"/>
          </w:tcPr>
          <w:p>
            <w:r>
              <w:rPr>
                <w:rFonts w:ascii="Calibri" w:hAnsi="Calibri"/>
                <w:sz w:val="22"/>
              </w:rPr>
              <w:t>25,949K</w:t>
            </w:r>
          </w:p>
        </w:tc>
        <w:tc>
          <w:tcPr>
            <w:tcW w:type="dxa" w:w="1234"/>
          </w:tcPr>
          <w:p>
            <w:r>
              <w:rPr>
                <w:rFonts w:ascii="Calibri" w:hAnsi="Calibri"/>
                <w:sz w:val="22"/>
              </w:rPr>
              <w:t>+2.8%</w:t>
            </w:r>
          </w:p>
        </w:tc>
        <w:tc>
          <w:tcPr>
            <w:tcW w:type="dxa" w:w="1234"/>
          </w:tcPr>
          <w:p>
            <w:r>
              <w:rPr>
                <w:rFonts w:ascii="Calibri" w:hAnsi="Calibri"/>
                <w:sz w:val="22"/>
              </w:rPr>
              <w:t>Continued growth; record new business in Q1</w:t>
            </w:r>
          </w:p>
        </w:tc>
        <w:tc>
          <w:tcPr>
            <w:tcW w:type="dxa" w:w="1234"/>
          </w:tcPr>
          <w:p>
            <w:r>
              <w:rPr>
                <w:rFonts w:ascii="Calibri" w:hAnsi="Calibri"/>
                <w:sz w:val="22"/>
              </w:rPr>
              <w:t>N/A</w:t>
            </w:r>
          </w:p>
        </w:tc>
      </w:tr>
      <w:tr>
        <w:tc>
          <w:tcPr>
            <w:tcW w:type="dxa" w:w="1234"/>
          </w:tcPr>
          <w:p>
            <w:r>
              <w:rPr>
                <w:rFonts w:ascii="Calibri" w:hAnsi="Calibri"/>
                <w:sz w:val="22"/>
              </w:rPr>
              <w:t>Homeowners Policies in Force (K)</w:t>
            </w:r>
          </w:p>
        </w:tc>
        <w:tc>
          <w:tcPr>
            <w:tcW w:type="dxa" w:w="1234"/>
          </w:tcPr>
          <w:p>
            <w:r>
              <w:rPr>
                <w:rFonts w:ascii="Calibri" w:hAnsi="Calibri"/>
                <w:sz w:val="22"/>
              </w:rPr>
              <w:t>7,739K</w:t>
            </w:r>
          </w:p>
        </w:tc>
        <w:tc>
          <w:tcPr>
            <w:tcW w:type="dxa" w:w="1234"/>
          </w:tcPr>
          <w:p>
            <w:r>
              <w:rPr>
                <w:rFonts w:ascii="Calibri" w:hAnsi="Calibri"/>
                <w:sz w:val="22"/>
              </w:rPr>
              <w:t>7,596K</w:t>
            </w:r>
          </w:p>
        </w:tc>
        <w:tc>
          <w:tcPr>
            <w:tcW w:type="dxa" w:w="1234"/>
          </w:tcPr>
          <w:p>
            <w:r>
              <w:rPr>
                <w:rFonts w:ascii="Calibri" w:hAnsi="Calibri"/>
                <w:sz w:val="22"/>
              </w:rPr>
              <w:t>7,792K</w:t>
            </w:r>
          </w:p>
        </w:tc>
        <w:tc>
          <w:tcPr>
            <w:tcW w:type="dxa" w:w="1234"/>
          </w:tcPr>
          <w:p>
            <w:r>
              <w:rPr>
                <w:rFonts w:ascii="Calibri" w:hAnsi="Calibri"/>
                <w:sz w:val="22"/>
              </w:rPr>
              <w:t>+2.6%</w:t>
            </w:r>
          </w:p>
        </w:tc>
        <w:tc>
          <w:tcPr>
            <w:tcW w:type="dxa" w:w="1234"/>
          </w:tcPr>
          <w:p>
            <w:r>
              <w:rPr>
                <w:rFonts w:ascii="Calibri" w:hAnsi="Calibri"/>
                <w:sz w:val="22"/>
              </w:rPr>
              <w:t>Continued growth; market share gains in 41 states</w:t>
            </w:r>
          </w:p>
        </w:tc>
        <w:tc>
          <w:tcPr>
            <w:tcW w:type="dxa" w:w="1234"/>
          </w:tcPr>
          <w:p>
            <w:r>
              <w:rPr>
                <w:rFonts w:ascii="Calibri" w:hAnsi="Calibri"/>
                <w:sz w:val="22"/>
              </w:rPr>
              <w:t>N/A</w:t>
            </w:r>
          </w:p>
        </w:tc>
      </w:tr>
      <w:tr>
        <w:tc>
          <w:tcPr>
            <w:tcW w:type="dxa" w:w="1234"/>
          </w:tcPr>
          <w:p>
            <w:r>
              <w:rPr>
                <w:rFonts w:ascii="Calibri" w:hAnsi="Calibri"/>
                <w:sz w:val="22"/>
              </w:rPr>
              <w:t>Net Investment Income</w:t>
            </w:r>
          </w:p>
        </w:tc>
        <w:tc>
          <w:tcPr>
            <w:tcW w:type="dxa" w:w="1234"/>
          </w:tcPr>
          <w:p>
            <w:r>
              <w:rPr>
                <w:rFonts w:ascii="Calibri" w:hAnsi="Calibri"/>
                <w:sz w:val="22"/>
              </w:rPr>
              <w:t>$938M</w:t>
            </w:r>
          </w:p>
        </w:tc>
        <w:tc>
          <w:tcPr>
            <w:tcW w:type="dxa" w:w="1234"/>
          </w:tcPr>
          <w:p>
            <w:r>
              <w:rPr>
                <w:rFonts w:ascii="Calibri" w:hAnsi="Calibri"/>
                <w:sz w:val="22"/>
              </w:rPr>
              <w:t>$754M</w:t>
            </w:r>
          </w:p>
        </w:tc>
        <w:tc>
          <w:tcPr>
            <w:tcW w:type="dxa" w:w="1234"/>
          </w:tcPr>
          <w:p>
            <w:r>
              <w:rPr>
                <w:rFonts w:ascii="Calibri" w:hAnsi="Calibri"/>
                <w:sz w:val="22"/>
              </w:rPr>
              <w:t>$849M</w:t>
            </w:r>
          </w:p>
        </w:tc>
        <w:tc>
          <w:tcPr>
            <w:tcW w:type="dxa" w:w="1234"/>
          </w:tcPr>
          <w:p>
            <w:r>
              <w:rPr>
                <w:rFonts w:ascii="Calibri" w:hAnsi="Calibri"/>
                <w:sz w:val="22"/>
              </w:rPr>
              <w:t>+12.6%</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August 4, 2026. Prior year actuals from Visible Alpha. Q1 2026 actuals from Allstate Q1 2026 earnings call (April 29,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$10.65</w:t>
            </w:r>
          </w:p>
        </w:tc>
        <w:tc>
          <w:tcPr>
            <w:tcW w:type="dxa" w:w="1728"/>
          </w:tcPr>
          <w:p>
            <w:r>
              <w:rPr>
                <w:rFonts w:ascii="Calibri" w:hAnsi="Calibri"/>
                <w:sz w:val="22"/>
              </w:rPr>
              <w:t>$7.11</w:t>
            </w:r>
          </w:p>
        </w:tc>
        <w:tc>
          <w:tcPr>
            <w:tcW w:type="dxa" w:w="1728"/>
          </w:tcPr>
          <w:p>
            <w:r>
              <w:rPr>
                <w:rFonts w:ascii="Calibri" w:hAnsi="Calibri"/>
                <w:b/>
                <w:color w:val="30A46C"/>
                <w:sz w:val="22"/>
              </w:rPr>
              <w:t>+49.7%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$14.31</w:t>
            </w:r>
          </w:p>
        </w:tc>
        <w:tc>
          <w:tcPr>
            <w:tcW w:type="dxa" w:w="1728"/>
          </w:tcPr>
          <w:p>
            <w:r>
              <w:rPr>
                <w:rFonts w:ascii="Calibri" w:hAnsi="Calibri"/>
                <w:sz w:val="22"/>
              </w:rPr>
              <w:t>$10.02</w:t>
            </w:r>
          </w:p>
        </w:tc>
        <w:tc>
          <w:tcPr>
            <w:tcW w:type="dxa" w:w="1728"/>
          </w:tcPr>
          <w:p>
            <w:r>
              <w:rPr>
                <w:rFonts w:ascii="Calibri" w:hAnsi="Calibri"/>
                <w:b/>
                <w:color w:val="30A46C"/>
                <w:sz w:val="22"/>
              </w:rPr>
              <w:t>+42.8%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$11.17</w:t>
            </w:r>
          </w:p>
        </w:tc>
        <w:tc>
          <w:tcPr>
            <w:tcW w:type="dxa" w:w="1728"/>
          </w:tcPr>
          <w:p>
            <w:r>
              <w:rPr>
                <w:rFonts w:ascii="Calibri" w:hAnsi="Calibri"/>
                <w:sz w:val="22"/>
              </w:rPr>
              <w:t>$7.28</w:t>
            </w:r>
          </w:p>
        </w:tc>
        <w:tc>
          <w:tcPr>
            <w:tcW w:type="dxa" w:w="1728"/>
          </w:tcPr>
          <w:p>
            <w:r>
              <w:rPr>
                <w:rFonts w:ascii="Calibri" w:hAnsi="Calibri"/>
                <w:b/>
                <w:color w:val="30A46C"/>
                <w:sz w:val="22"/>
              </w:rPr>
              <w:t>+53.4%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$5.94</w:t>
            </w:r>
          </w:p>
        </w:tc>
        <w:tc>
          <w:tcPr>
            <w:tcW w:type="dxa" w:w="1728"/>
          </w:tcPr>
          <w:p>
            <w:r>
              <w:rPr>
                <w:rFonts w:ascii="Calibri" w:hAnsi="Calibri"/>
                <w:sz w:val="22"/>
              </w:rPr>
              <w:t>$3.28</w:t>
            </w:r>
          </w:p>
        </w:tc>
        <w:tc>
          <w:tcPr>
            <w:tcW w:type="dxa" w:w="1728"/>
          </w:tcPr>
          <w:p>
            <w:r>
              <w:rPr>
                <w:rFonts w:ascii="Calibri" w:hAnsi="Calibri"/>
                <w:b/>
                <w:color w:val="30A46C"/>
                <w:sz w:val="22"/>
              </w:rPr>
              <w:t>+81.1%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$3.53</w:t>
            </w:r>
          </w:p>
        </w:tc>
        <w:tc>
          <w:tcPr>
            <w:tcW w:type="dxa" w:w="1728"/>
          </w:tcPr>
          <w:p>
            <w:r>
              <w:rPr>
                <w:rFonts w:ascii="Calibri" w:hAnsi="Calibri"/>
                <w:sz w:val="22"/>
              </w:rPr>
              <w:t>$2.43</w:t>
            </w:r>
          </w:p>
        </w:tc>
        <w:tc>
          <w:tcPr>
            <w:tcW w:type="dxa" w:w="1728"/>
          </w:tcPr>
          <w:p>
            <w:r>
              <w:rPr>
                <w:rFonts w:ascii="Calibri" w:hAnsi="Calibri"/>
                <w:b/>
                <w:color w:val="30A46C"/>
                <w:sz w:val="22"/>
              </w:rPr>
              <w:t>+45.3%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$7.67</w:t>
            </w:r>
          </w:p>
        </w:tc>
        <w:tc>
          <w:tcPr>
            <w:tcW w:type="dxa" w:w="1728"/>
          </w:tcPr>
          <w:p>
            <w:r>
              <w:rPr>
                <w:rFonts w:ascii="Calibri" w:hAnsi="Calibri"/>
                <w:sz w:val="22"/>
              </w:rPr>
              <w:t>$6.31</w:t>
            </w:r>
          </w:p>
        </w:tc>
        <w:tc>
          <w:tcPr>
            <w:tcW w:type="dxa" w:w="1728"/>
          </w:tcPr>
          <w:p>
            <w:r>
              <w:rPr>
                <w:rFonts w:ascii="Calibri" w:hAnsi="Calibri"/>
                <w:b/>
                <w:color w:val="30A46C"/>
                <w:sz w:val="22"/>
              </w:rPr>
              <w:t>+21.6%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$3.91</w:t>
            </w:r>
          </w:p>
        </w:tc>
        <w:tc>
          <w:tcPr>
            <w:tcW w:type="dxa" w:w="1728"/>
          </w:tcPr>
          <w:p>
            <w:r>
              <w:rPr>
                <w:rFonts w:ascii="Calibri" w:hAnsi="Calibri"/>
                <w:sz w:val="22"/>
              </w:rPr>
              <w:t>$2.29</w:t>
            </w:r>
          </w:p>
        </w:tc>
        <w:tc>
          <w:tcPr>
            <w:tcW w:type="dxa" w:w="1728"/>
          </w:tcPr>
          <w:p>
            <w:r>
              <w:rPr>
                <w:rFonts w:ascii="Calibri" w:hAnsi="Calibri"/>
                <w:b/>
                <w:color w:val="30A46C"/>
                <w:sz w:val="22"/>
              </w:rPr>
              <w:t>+70.7%</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$1.61</w:t>
            </w:r>
          </w:p>
        </w:tc>
        <w:tc>
          <w:tcPr>
            <w:tcW w:type="dxa" w:w="1728"/>
          </w:tcPr>
          <w:p>
            <w:r>
              <w:rPr>
                <w:rFonts w:ascii="Calibri" w:hAnsi="Calibri"/>
                <w:sz w:val="22"/>
              </w:rPr>
              <w:t>$0.26</w:t>
            </w:r>
          </w:p>
        </w:tc>
        <w:tc>
          <w:tcPr>
            <w:tcW w:type="dxa" w:w="1728"/>
          </w:tcPr>
          <w:p>
            <w:r>
              <w:rPr>
                <w:rFonts w:ascii="Calibri" w:hAnsi="Calibri"/>
                <w:b/>
                <w:color w:val="30A46C"/>
                <w:sz w:val="22"/>
              </w:rPr>
              <w:t>+519%</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ALL has beaten operating EPS consensus in all 8 of the last 8 quarters, with an average surprise of ~110% — driven by a combination of better-than-expected underwriting margins and reserve releases that the street consistently underestimates. The bar has been reset materially higher each quarter, yet beats have persisted.</w:t>
      </w:r>
    </w:p>
    <w:p>
      <w:r>
        <w:rPr>
          <w:rFonts w:ascii="Calibri" w:hAnsi="Calibri"/>
          <w:b/>
          <w:color w:val="525866"/>
          <w:sz w:val="22"/>
        </w:rPr>
        <w:t>KPI 2: Combined Ratio — Allstate Protection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82.0%</w:t>
            </w:r>
          </w:p>
        </w:tc>
        <w:tc>
          <w:tcPr>
            <w:tcW w:type="dxa" w:w="1728"/>
          </w:tcPr>
          <w:p>
            <w:r>
              <w:rPr>
                <w:rFonts w:ascii="Calibri" w:hAnsi="Calibri"/>
                <w:sz w:val="22"/>
              </w:rPr>
              <w:t>89.6%</w:t>
            </w:r>
          </w:p>
        </w:tc>
        <w:tc>
          <w:tcPr>
            <w:tcW w:type="dxa" w:w="1728"/>
          </w:tcPr>
          <w:p>
            <w:r>
              <w:rPr>
                <w:rFonts w:ascii="Calibri" w:hAnsi="Calibri"/>
                <w:b/>
                <w:color w:val="30A46C"/>
                <w:sz w:val="22"/>
              </w:rPr>
              <w:t>-7.6 pts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72.9%</w:t>
            </w:r>
          </w:p>
        </w:tc>
        <w:tc>
          <w:tcPr>
            <w:tcW w:type="dxa" w:w="1728"/>
          </w:tcPr>
          <w:p>
            <w:r>
              <w:rPr>
                <w:rFonts w:ascii="Calibri" w:hAnsi="Calibri"/>
                <w:sz w:val="22"/>
              </w:rPr>
              <w:t>82.8%</w:t>
            </w:r>
          </w:p>
        </w:tc>
        <w:tc>
          <w:tcPr>
            <w:tcW w:type="dxa" w:w="1728"/>
          </w:tcPr>
          <w:p>
            <w:r>
              <w:rPr>
                <w:rFonts w:ascii="Calibri" w:hAnsi="Calibri"/>
                <w:b/>
                <w:color w:val="30A46C"/>
                <w:sz w:val="22"/>
              </w:rPr>
              <w:t>-9.9 pts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80.1%</w:t>
            </w:r>
          </w:p>
        </w:tc>
        <w:tc>
          <w:tcPr>
            <w:tcW w:type="dxa" w:w="1728"/>
          </w:tcPr>
          <w:p>
            <w:r>
              <w:rPr>
                <w:rFonts w:ascii="Calibri" w:hAnsi="Calibri"/>
                <w:sz w:val="22"/>
              </w:rPr>
              <w:t>88.3%</w:t>
            </w:r>
          </w:p>
        </w:tc>
        <w:tc>
          <w:tcPr>
            <w:tcW w:type="dxa" w:w="1728"/>
          </w:tcPr>
          <w:p>
            <w:r>
              <w:rPr>
                <w:rFonts w:ascii="Calibri" w:hAnsi="Calibri"/>
                <w:b/>
                <w:color w:val="30A46C"/>
                <w:sz w:val="22"/>
              </w:rPr>
              <w:t>-8.2 pts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91.1%</w:t>
            </w:r>
          </w:p>
        </w:tc>
        <w:tc>
          <w:tcPr>
            <w:tcW w:type="dxa" w:w="1728"/>
          </w:tcPr>
          <w:p>
            <w:r>
              <w:rPr>
                <w:rFonts w:ascii="Calibri" w:hAnsi="Calibri"/>
                <w:sz w:val="22"/>
              </w:rPr>
              <w:t>97.4%</w:t>
            </w:r>
          </w:p>
        </w:tc>
        <w:tc>
          <w:tcPr>
            <w:tcW w:type="dxa" w:w="1728"/>
          </w:tcPr>
          <w:p>
            <w:r>
              <w:rPr>
                <w:rFonts w:ascii="Calibri" w:hAnsi="Calibri"/>
                <w:b/>
                <w:color w:val="30A46C"/>
                <w:sz w:val="22"/>
              </w:rPr>
              <w:t>-6.3 pts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97.4%</w:t>
            </w:r>
          </w:p>
        </w:tc>
        <w:tc>
          <w:tcPr>
            <w:tcW w:type="dxa" w:w="1728"/>
          </w:tcPr>
          <w:p>
            <w:r>
              <w:rPr>
                <w:rFonts w:ascii="Calibri" w:hAnsi="Calibri"/>
                <w:sz w:val="22"/>
              </w:rPr>
              <w:t>99.7%</w:t>
            </w:r>
          </w:p>
        </w:tc>
        <w:tc>
          <w:tcPr>
            <w:tcW w:type="dxa" w:w="1728"/>
          </w:tcPr>
          <w:p>
            <w:r>
              <w:rPr>
                <w:rFonts w:ascii="Calibri" w:hAnsi="Calibri"/>
                <w:b/>
                <w:color w:val="30A46C"/>
                <w:sz w:val="22"/>
              </w:rPr>
              <w:t>-2.3 pts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86.9%</w:t>
            </w:r>
          </w:p>
        </w:tc>
        <w:tc>
          <w:tcPr>
            <w:tcW w:type="dxa" w:w="1728"/>
          </w:tcPr>
          <w:p>
            <w:r>
              <w:rPr>
                <w:rFonts w:ascii="Calibri" w:hAnsi="Calibri"/>
                <w:sz w:val="22"/>
              </w:rPr>
              <w:t>89.9%</w:t>
            </w:r>
          </w:p>
        </w:tc>
        <w:tc>
          <w:tcPr>
            <w:tcW w:type="dxa" w:w="1728"/>
          </w:tcPr>
          <w:p>
            <w:r>
              <w:rPr>
                <w:rFonts w:ascii="Calibri" w:hAnsi="Calibri"/>
                <w:b/>
                <w:color w:val="30A46C"/>
                <w:sz w:val="22"/>
              </w:rPr>
              <w:t>-3.0 pts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96.4%</w:t>
            </w:r>
          </w:p>
        </w:tc>
        <w:tc>
          <w:tcPr>
            <w:tcW w:type="dxa" w:w="1728"/>
          </w:tcPr>
          <w:p>
            <w:r>
              <w:rPr>
                <w:rFonts w:ascii="Calibri" w:hAnsi="Calibri"/>
                <w:sz w:val="22"/>
              </w:rPr>
              <w:t>99.6%</w:t>
            </w:r>
          </w:p>
        </w:tc>
        <w:tc>
          <w:tcPr>
            <w:tcW w:type="dxa" w:w="1728"/>
          </w:tcPr>
          <w:p>
            <w:r>
              <w:rPr>
                <w:rFonts w:ascii="Calibri" w:hAnsi="Calibri"/>
                <w:b/>
                <w:color w:val="30A46C"/>
                <w:sz w:val="22"/>
              </w:rPr>
              <w:t>-3.2 pts</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101.1%</w:t>
            </w:r>
          </w:p>
        </w:tc>
        <w:tc>
          <w:tcPr>
            <w:tcW w:type="dxa" w:w="1728"/>
          </w:tcPr>
          <w:p>
            <w:r>
              <w:rPr>
                <w:rFonts w:ascii="Calibri" w:hAnsi="Calibri"/>
                <w:sz w:val="22"/>
              </w:rPr>
              <w:t>104.5%</w:t>
            </w:r>
          </w:p>
        </w:tc>
        <w:tc>
          <w:tcPr>
            <w:tcW w:type="dxa" w:w="1728"/>
          </w:tcPr>
          <w:p>
            <w:r>
              <w:rPr>
                <w:rFonts w:ascii="Calibri" w:hAnsi="Calibri"/>
                <w:b/>
                <w:color w:val="30A46C"/>
                <w:sz w:val="22"/>
              </w:rPr>
              <w:t>-3.4 pts</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ALL has beaten combined ratio consensus (i.e., reported a lower/better ratio than expected) in all 8 of the last 8 quarters, with an average beat of ~5.5 points. The street has consistently over-estimated loss costs and under-estimated reserve releases. Q2 2026 is the first quarter where a disclosed cat load ($1.72B) creates a genuine risk of a miss on the reported combined ratio, though the underlying combined ratio remains the cleaner signal.</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Allstate provided no explicit quarterly numerical guidance on the Q1 call; the only post-earnings guidance update is the disclosed Q2 catastrophe loss of $1.72B pre-tax (July 16 8-K), which is the single most important data point heading into the print. Management tone remains constructive on the growth pivot.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Catastrophe Losses</w:t>
            </w:r>
          </w:p>
        </w:tc>
        <w:tc>
          <w:tcPr>
            <w:tcW w:type="dxa" w:w="1728"/>
          </w:tcPr>
          <w:p>
            <w:r>
              <w:rPr>
                <w:rFonts w:ascii="Calibri" w:hAnsi="Calibri"/>
                <w:sz w:val="22"/>
              </w:rPr>
              <w:t>No explicit guidance provided</w:t>
            </w:r>
          </w:p>
        </w:tc>
        <w:tc>
          <w:tcPr>
            <w:tcW w:type="dxa" w:w="1728"/>
          </w:tcPr>
          <w:p>
            <w:r>
              <w:rPr>
                <w:rFonts w:ascii="Calibri" w:hAnsi="Calibri"/>
                <w:sz w:val="22"/>
              </w:rPr>
              <w:t>$1.72B pre-tax / $1.36B after-tax</w:t>
            </w:r>
          </w:p>
        </w:tc>
        <w:tc>
          <w:tcPr>
            <w:tcW w:type="dxa" w:w="1728"/>
          </w:tcPr>
          <w:p>
            <w:r>
              <w:rPr>
                <w:rFonts w:ascii="Calibri" w:hAnsi="Calibri"/>
                <w:sz w:val="22"/>
              </w:rPr>
              <w:t>N/A (disclosed actuals)</w:t>
            </w:r>
          </w:p>
        </w:tc>
        <w:tc>
          <w:tcPr>
            <w:tcW w:type="dxa" w:w="1728"/>
          </w:tcPr>
          <w:p>
            <w:r>
              <w:rPr>
                <w:rFonts w:ascii="Calibri" w:hAnsi="Calibri"/>
                <w:sz w:val="22"/>
              </w:rPr>
              <w:t>↑ Disclosed via 8-K July 16, 2026; April+May cats were $1.16B, June added $563M. Materially above street estimates.</w:t>
            </w:r>
          </w:p>
        </w:tc>
      </w:tr>
      <w:tr>
        <w:tc>
          <w:tcPr>
            <w:tcW w:type="dxa" w:w="1728"/>
          </w:tcPr>
          <w:p>
            <w:r>
              <w:rPr>
                <w:rFonts w:ascii="Calibri" w:hAnsi="Calibri"/>
                <w:sz w:val="22"/>
              </w:rPr>
              <w:t>Auto Underlying Combined Ratio Target</w:t>
            </w:r>
          </w:p>
        </w:tc>
        <w:tc>
          <w:tcPr>
            <w:tcW w:type="dxa" w:w="1728"/>
          </w:tcPr>
          <w:p>
            <w:r>
              <w:rPr>
                <w:rFonts w:ascii="Calibri" w:hAnsi="Calibri"/>
                <w:sz w:val="22"/>
              </w:rPr>
              <w:t>Mid-90s (long-term target); Q1 2026 actual was 89.5%, 1.7 pts better YoY</w:t>
            </w:r>
          </w:p>
        </w:tc>
        <w:tc>
          <w:tcPr>
            <w:tcW w:type="dxa" w:w="1728"/>
          </w:tcPr>
          <w:p>
            <w:r>
              <w:rPr>
                <w:rFonts w:ascii="Calibri" w:hAnsi="Calibri"/>
                <w:sz w:val="22"/>
              </w:rPr>
              <w:t>No change</w:t>
            </w:r>
          </w:p>
        </w:tc>
        <w:tc>
          <w:tcPr>
            <w:tcW w:type="dxa" w:w="1728"/>
          </w:tcPr>
          <w:p>
            <w:r>
              <w:rPr>
                <w:rFonts w:ascii="Calibri" w:hAnsi="Calibri"/>
                <w:sz w:val="22"/>
              </w:rPr>
              <w:t>89.5% (Q2 2026 consensus)</w:t>
            </w:r>
          </w:p>
        </w:tc>
        <w:tc>
          <w:tcPr>
            <w:tcW w:type="dxa" w:w="1728"/>
          </w:tcPr>
          <w:p>
            <w:r>
              <w:rPr>
                <w:rFonts w:ascii="Calibri" w:hAnsi="Calibri"/>
                <w:sz w:val="22"/>
              </w:rPr>
              <w:t>Unchanged; management signaled willingness to trade some margin for growth acceleration</w:t>
            </w:r>
          </w:p>
        </w:tc>
      </w:tr>
      <w:tr>
        <w:tc>
          <w:tcPr>
            <w:tcW w:type="dxa" w:w="1728"/>
          </w:tcPr>
          <w:p>
            <w:r>
              <w:rPr>
                <w:rFonts w:ascii="Calibri" w:hAnsi="Calibri"/>
                <w:sz w:val="22"/>
              </w:rPr>
              <w:t>Homeowners Underlying Combined Ratio Target</w:t>
            </w:r>
          </w:p>
        </w:tc>
        <w:tc>
          <w:tcPr>
            <w:tcW w:type="dxa" w:w="1728"/>
          </w:tcPr>
          <w:p>
            <w:r>
              <w:rPr>
                <w:rFonts w:ascii="Calibri" w:hAnsi="Calibri"/>
                <w:sz w:val="22"/>
              </w:rPr>
              <w:t>Low-90s (long-term target); Q1 2026 actual was 60.5%, exceptional</w:t>
            </w:r>
          </w:p>
        </w:tc>
        <w:tc>
          <w:tcPr>
            <w:tcW w:type="dxa" w:w="1728"/>
          </w:tcPr>
          <w:p>
            <w:r>
              <w:rPr>
                <w:rFonts w:ascii="Calibri" w:hAnsi="Calibri"/>
                <w:sz w:val="22"/>
              </w:rPr>
              <w:t>No change</w:t>
            </w:r>
          </w:p>
        </w:tc>
        <w:tc>
          <w:tcPr>
            <w:tcW w:type="dxa" w:w="1728"/>
          </w:tcPr>
          <w:p>
            <w:r>
              <w:rPr>
                <w:rFonts w:ascii="Calibri" w:hAnsi="Calibri"/>
                <w:sz w:val="22"/>
              </w:rPr>
              <w:t>61.9% (Q2 2026 consensus)</w:t>
            </w:r>
          </w:p>
        </w:tc>
        <w:tc>
          <w:tcPr>
            <w:tcW w:type="dxa" w:w="1728"/>
          </w:tcPr>
          <w:p>
            <w:r>
              <w:rPr>
                <w:rFonts w:ascii="Calibri" w:hAnsi="Calibri"/>
                <w:sz w:val="22"/>
              </w:rPr>
              <w:t>Unchanged; management sees great potential to grow homeowners given competitive set</w:t>
            </w:r>
          </w:p>
        </w:tc>
      </w:tr>
      <w:tr>
        <w:tc>
          <w:tcPr>
            <w:tcW w:type="dxa" w:w="1728"/>
          </w:tcPr>
          <w:p>
            <w:r>
              <w:rPr>
                <w:rFonts w:ascii="Calibri" w:hAnsi="Calibri"/>
                <w:sz w:val="22"/>
              </w:rPr>
              <w:t>Pricing Posture</w:t>
            </w:r>
          </w:p>
        </w:tc>
        <w:tc>
          <w:tcPr>
            <w:tcW w:type="dxa" w:w="1728"/>
          </w:tcPr>
          <w:p>
            <w:r>
              <w:rPr>
                <w:rFonts w:ascii="Calibri" w:hAnsi="Calibri"/>
                <w:sz w:val="22"/>
              </w:rPr>
              <w:t>Net neutral across book; rate changes in 39 states in Q1 (23 decreases, 16 increases)</w:t>
            </w:r>
          </w:p>
        </w:tc>
        <w:tc>
          <w:tcPr>
            <w:tcW w:type="dxa" w:w="1728"/>
          </w:tcPr>
          <w:p>
            <w:r>
              <w:rPr>
                <w:rFonts w:ascii="Calibri" w:hAnsi="Calibri"/>
                <w:sz w:val="22"/>
              </w:rPr>
              <w:t>No change</w:t>
            </w:r>
          </w:p>
        </w:tc>
        <w:tc>
          <w:tcPr>
            <w:tcW w:type="dxa" w:w="1728"/>
          </w:tcPr>
          <w:p>
            <w:r>
              <w:rPr>
                <w:rFonts w:ascii="Calibri" w:hAnsi="Calibri"/>
                <w:sz w:val="22"/>
              </w:rPr>
              <w:t>N/A</w:t>
            </w:r>
          </w:p>
        </w:tc>
        <w:tc>
          <w:tcPr>
            <w:tcW w:type="dxa" w:w="1728"/>
          </w:tcPr>
          <w:p>
            <w:r>
              <w:rPr>
                <w:rFonts w:ascii="Calibri" w:hAnsi="Calibri"/>
                <w:sz w:val="22"/>
              </w:rPr>
              <w:t>Unchanged; management framed net-neutral pricing as the system working as designed; affordability improvements expected to accelerate PIF growth</w:t>
            </w:r>
          </w:p>
        </w:tc>
      </w:tr>
      <w:tr>
        <w:tc>
          <w:tcPr>
            <w:tcW w:type="dxa" w:w="1728"/>
          </w:tcPr>
          <w:p>
            <w:r>
              <w:rPr>
                <w:rFonts w:ascii="Calibri" w:hAnsi="Calibri"/>
                <w:sz w:val="22"/>
              </w:rPr>
              <w:t>Policy Growth / New Business</w:t>
            </w:r>
          </w:p>
        </w:tc>
        <w:tc>
          <w:tcPr>
            <w:tcW w:type="dxa" w:w="1728"/>
          </w:tcPr>
          <w:p>
            <w:r>
              <w:rPr>
                <w:rFonts w:ascii="Calibri" w:hAnsi="Calibri"/>
                <w:sz w:val="22"/>
              </w:rPr>
              <w:t>Record new business across all channels in Q1; auto PIF +2.6%, homeowners PIF +2.5%</w:t>
            </w:r>
          </w:p>
        </w:tc>
        <w:tc>
          <w:tcPr>
            <w:tcW w:type="dxa" w:w="1728"/>
          </w:tcPr>
          <w:p>
            <w:r>
              <w:rPr>
                <w:rFonts w:ascii="Calibri" w:hAnsi="Calibri"/>
                <w:sz w:val="22"/>
              </w:rPr>
              <w:t>May 2026 8-K: Auto PIF 25,901K (+2.7% YoY), Homeowners PIF 7,788K (+2.6% YoY)</w:t>
            </w:r>
          </w:p>
        </w:tc>
        <w:tc>
          <w:tcPr>
            <w:tcW w:type="dxa" w:w="1728"/>
          </w:tcPr>
          <w:p>
            <w:r>
              <w:rPr>
                <w:rFonts w:ascii="Calibri" w:hAnsi="Calibri"/>
                <w:sz w:val="22"/>
              </w:rPr>
              <w:t>Auto PIF 25,949K; HO PIF 7,792K (Q2 2026 consensus)</w:t>
            </w:r>
          </w:p>
        </w:tc>
        <w:tc>
          <w:tcPr>
            <w:tcW w:type="dxa" w:w="1728"/>
          </w:tcPr>
          <w:p>
            <w:r>
              <w:rPr>
                <w:rFonts w:ascii="Calibri" w:hAnsi="Calibri"/>
                <w:sz w:val="22"/>
              </w:rPr>
              <w:t>↑ May PIF data (8-K June 18) confirms growth trajectory on track; consensus aligned with disclosed trend</w:t>
            </w:r>
          </w:p>
        </w:tc>
      </w:tr>
      <w:tr>
        <w:tc>
          <w:tcPr>
            <w:tcW w:type="dxa" w:w="1728"/>
          </w:tcPr>
          <w:p>
            <w:r>
              <w:rPr>
                <w:rFonts w:ascii="Calibri" w:hAnsi="Calibri"/>
                <w:sz w:val="22"/>
              </w:rPr>
              <w:t>Net Investment Income</w:t>
            </w:r>
          </w:p>
        </w:tc>
        <w:tc>
          <w:tcPr>
            <w:tcW w:type="dxa" w:w="1728"/>
          </w:tcPr>
          <w:p>
            <w:r>
              <w:rPr>
                <w:rFonts w:ascii="Calibri" w:hAnsi="Calibri"/>
                <w:sz w:val="22"/>
              </w:rPr>
              <w:t>$938M in Q1 2026 (+9.8% YoY); portfolio book value +24% since Q1 2024</w:t>
            </w:r>
          </w:p>
        </w:tc>
        <w:tc>
          <w:tcPr>
            <w:tcW w:type="dxa" w:w="1728"/>
          </w:tcPr>
          <w:p>
            <w:r>
              <w:rPr>
                <w:rFonts w:ascii="Calibri" w:hAnsi="Calibri"/>
                <w:sz w:val="22"/>
              </w:rPr>
              <w:t>No change</w:t>
            </w:r>
          </w:p>
        </w:tc>
        <w:tc>
          <w:tcPr>
            <w:tcW w:type="dxa" w:w="1728"/>
          </w:tcPr>
          <w:p>
            <w:r>
              <w:rPr>
                <w:rFonts w:ascii="Calibri" w:hAnsi="Calibri"/>
                <w:sz w:val="22"/>
              </w:rPr>
              <w:t>$849M (Q2 2026 consensus)</w:t>
            </w:r>
          </w:p>
        </w:tc>
        <w:tc>
          <w:tcPr>
            <w:tcW w:type="dxa" w:w="1728"/>
          </w:tcPr>
          <w:p>
            <w:r>
              <w:rPr>
                <w:rFonts w:ascii="Calibri" w:hAnsi="Calibri"/>
                <w:sz w:val="22"/>
              </w:rPr>
              <w:t>Consensus implies modest sequential decline from Q1's elevated level; portfolio repositioning continues</w:t>
            </w:r>
          </w:p>
        </w:tc>
      </w:tr>
      <w:tr>
        <w:tc>
          <w:tcPr>
            <w:tcW w:type="dxa" w:w="1728"/>
          </w:tcPr>
          <w:p>
            <w:r>
              <w:rPr>
                <w:rFonts w:ascii="Calibri" w:hAnsi="Calibri"/>
                <w:sz w:val="22"/>
              </w:rPr>
              <w:t>CFO Transition</w:t>
            </w:r>
          </w:p>
        </w:tc>
        <w:tc>
          <w:tcPr>
            <w:tcW w:type="dxa" w:w="1728"/>
          </w:tcPr>
          <w:p>
            <w:r>
              <w:rPr>
                <w:rFonts w:ascii="Calibri" w:hAnsi="Calibri"/>
                <w:sz w:val="22"/>
              </w:rPr>
              <w:t>N/A (not discussed on Q1 call)</w:t>
            </w:r>
          </w:p>
        </w:tc>
        <w:tc>
          <w:tcPr>
            <w:tcW w:type="dxa" w:w="1728"/>
          </w:tcPr>
          <w:p>
            <w:r>
              <w:rPr>
                <w:rFonts w:ascii="Calibri" w:hAnsi="Calibri"/>
                <w:sz w:val="22"/>
              </w:rPr>
              <w:t>Christian Lown named new CFO, effective August 3, 2026 (8-K July 14)</w:t>
            </w:r>
          </w:p>
        </w:tc>
        <w:tc>
          <w:tcPr>
            <w:tcW w:type="dxa" w:w="1728"/>
          </w:tcPr>
          <w:p>
            <w:r>
              <w:rPr>
                <w:rFonts w:ascii="Calibri" w:hAnsi="Calibri"/>
                <w:sz w:val="22"/>
              </w:rPr>
              <w:t>N/A</w:t>
            </w:r>
          </w:p>
        </w:tc>
        <w:tc>
          <w:tcPr>
            <w:tcW w:type="dxa" w:w="1728"/>
          </w:tcPr>
          <w:p>
            <w:r>
              <w:rPr>
                <w:rFonts w:ascii="Calibri" w:hAnsi="Calibri"/>
                <w:sz w:val="22"/>
              </w:rPr>
              <w:t>New development; Lown succeeds interim CFO John Dugenske; brings capital markets expertise from CoStar, Freddie Mac, Navient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Q2 2026 operating EPS estimates have risen ~27% since the Q1 print (from $4.75 to $6.03), reflecting the street catching up to Allstate's profitability trajectory — but the FY2026 consensus has also moved up meaningfully (+5.5%), suggesting the beat-and-raise cycle is being priced in. The gap between current consensus and the disclosed cat load is the key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$4.75</w:t>
            </w:r>
          </w:p>
        </w:tc>
        <w:tc>
          <w:tcPr>
            <w:tcW w:type="dxa" w:w="1080"/>
          </w:tcPr>
          <w:p>
            <w:r>
              <w:rPr>
                <w:rFonts w:ascii="Calibri" w:hAnsi="Calibri"/>
                <w:sz w:val="22"/>
              </w:rPr>
              <w:t>$6.03</w:t>
            </w:r>
          </w:p>
        </w:tc>
        <w:tc>
          <w:tcPr>
            <w:tcW w:type="dxa" w:w="1080"/>
          </w:tcPr>
          <w:p>
            <w:r>
              <w:rPr>
                <w:rFonts w:ascii="Calibri" w:hAnsi="Calibri"/>
                <w:b/>
                <w:color w:val="30A46C"/>
                <w:sz w:val="22"/>
              </w:rPr>
              <w:t>+27.0%</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$29.81</w:t>
            </w:r>
          </w:p>
        </w:tc>
        <w:tc>
          <w:tcPr>
            <w:tcW w:type="dxa" w:w="1080"/>
          </w:tcPr>
          <w:p>
            <w:r>
              <w:rPr>
                <w:rFonts w:ascii="Calibri" w:hAnsi="Calibri"/>
                <w:sz w:val="22"/>
              </w:rPr>
              <w:t>$31.46</w:t>
            </w:r>
          </w:p>
        </w:tc>
        <w:tc>
          <w:tcPr>
            <w:tcW w:type="dxa" w:w="1080"/>
          </w:tcPr>
          <w:p>
            <w:r>
              <w:rPr>
                <w:rFonts w:ascii="Calibri" w:hAnsi="Calibri"/>
                <w:b/>
                <w:color w:val="30A46C"/>
                <w:sz w:val="22"/>
              </w:rPr>
              <w:t>+5.5%</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Combined Ratio — Allstate Protection — Q2 2026</w:t>
            </w:r>
          </w:p>
        </w:tc>
        <w:tc>
          <w:tcPr>
            <w:tcW w:type="dxa" w:w="1080"/>
          </w:tcPr>
          <w:p>
            <w:r>
              <w:rPr>
                <w:rFonts w:ascii="Calibri" w:hAnsi="Calibri"/>
                <w:sz w:val="22"/>
              </w:rPr>
              <w:t>95.1%</w:t>
            </w:r>
          </w:p>
        </w:tc>
        <w:tc>
          <w:tcPr>
            <w:tcW w:type="dxa" w:w="1080"/>
          </w:tcPr>
          <w:p>
            <w:r>
              <w:rPr>
                <w:rFonts w:ascii="Calibri" w:hAnsi="Calibri"/>
                <w:sz w:val="22"/>
              </w:rPr>
              <w:t>91.9%</w:t>
            </w:r>
          </w:p>
        </w:tc>
        <w:tc>
          <w:tcPr>
            <w:tcW w:type="dxa" w:w="1080"/>
          </w:tcPr>
          <w:p>
            <w:r>
              <w:rPr>
                <w:rFonts w:ascii="Calibri" w:hAnsi="Calibri"/>
                <w:b/>
                <w:color w:val="30A46C"/>
                <w:sz w:val="22"/>
              </w:rPr>
              <w:t>-3.2 pts</w:t>
            </w:r>
          </w:p>
        </w:tc>
        <w:tc>
          <w:tcPr>
            <w:tcW w:type="dxa" w:w="1080"/>
          </w:tcPr>
          <w:p>
            <w:r>
              <w:rPr>
                <w:rFonts w:ascii="Calibri" w:hAnsi="Calibri"/>
                <w:sz w:val="22"/>
              </w:rPr>
              <w:t>No explicit guidance; FY target mid-90s auto / low-90s HO</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Below FY target (favorable)</w:t>
            </w:r>
          </w:p>
        </w:tc>
      </w:tr>
      <w:tr>
        <w:tc>
          <w:tcPr>
            <w:tcW w:type="dxa" w:w="1080"/>
          </w:tcPr>
          <w:p>
            <w:r>
              <w:rPr>
                <w:rFonts w:ascii="Calibri" w:hAnsi="Calibri"/>
                <w:sz w:val="22"/>
              </w:rPr>
              <w:t>Combined Ratio — Allstate Protection — FY2026</w:t>
            </w:r>
          </w:p>
        </w:tc>
        <w:tc>
          <w:tcPr>
            <w:tcW w:type="dxa" w:w="1080"/>
          </w:tcPr>
          <w:p>
            <w:r>
              <w:rPr>
                <w:rFonts w:ascii="Calibri" w:hAnsi="Calibri"/>
                <w:sz w:val="22"/>
              </w:rPr>
              <w:t>89.4%</w:t>
            </w:r>
          </w:p>
        </w:tc>
        <w:tc>
          <w:tcPr>
            <w:tcW w:type="dxa" w:w="1080"/>
          </w:tcPr>
          <w:p>
            <w:r>
              <w:rPr>
                <w:rFonts w:ascii="Calibri" w:hAnsi="Calibri"/>
                <w:sz w:val="22"/>
              </w:rPr>
              <w:t>88.4%</w:t>
            </w:r>
          </w:p>
        </w:tc>
        <w:tc>
          <w:tcPr>
            <w:tcW w:type="dxa" w:w="1080"/>
          </w:tcPr>
          <w:p>
            <w:r>
              <w:rPr>
                <w:rFonts w:ascii="Calibri" w:hAnsi="Calibri"/>
                <w:b/>
                <w:color w:val="30A46C"/>
                <w:sz w:val="22"/>
              </w:rPr>
              <w:t>-1.0 pt</w:t>
            </w:r>
          </w:p>
        </w:tc>
        <w:tc>
          <w:tcPr>
            <w:tcW w:type="dxa" w:w="1080"/>
          </w:tcPr>
          <w:p>
            <w:r>
              <w:rPr>
                <w:rFonts w:ascii="Calibri" w:hAnsi="Calibri"/>
                <w:sz w:val="22"/>
              </w:rPr>
              <w:t>No explicit guidance; FY target mid-90s auto / low-90s HO</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~6 pts below FY target (favorable)</w:t>
            </w:r>
          </w:p>
        </w:tc>
      </w:tr>
      <w:tr>
        <w:tc>
          <w:tcPr>
            <w:tcW w:type="dxa" w:w="1080"/>
          </w:tcPr>
          <w:p>
            <w:r>
              <w:rPr>
                <w:rFonts w:ascii="Calibri" w:hAnsi="Calibri"/>
                <w:sz w:val="22"/>
              </w:rPr>
              <w:t>Net Written Premium (Allstate Protection) — Q2 2026</w:t>
            </w:r>
          </w:p>
        </w:tc>
        <w:tc>
          <w:tcPr>
            <w:tcW w:type="dxa" w:w="1080"/>
          </w:tcPr>
          <w:p>
            <w:r>
              <w:rPr>
                <w:rFonts w:ascii="Calibri" w:hAnsi="Calibri"/>
                <w:sz w:val="22"/>
              </w:rPr>
              <w:t>$15.65B</w:t>
            </w:r>
          </w:p>
        </w:tc>
        <w:tc>
          <w:tcPr>
            <w:tcW w:type="dxa" w:w="1080"/>
          </w:tcPr>
          <w:p>
            <w:r>
              <w:rPr>
                <w:rFonts w:ascii="Calibri" w:hAnsi="Calibri"/>
                <w:sz w:val="22"/>
              </w:rPr>
              <w:t>$15.57B</w:t>
            </w:r>
          </w:p>
        </w:tc>
        <w:tc>
          <w:tcPr>
            <w:tcW w:type="dxa" w:w="1080"/>
          </w:tcPr>
          <w:p>
            <w:r>
              <w:rPr>
                <w:rFonts w:ascii="Calibri" w:hAnsi="Calibri"/>
                <w:sz w:val="22"/>
              </w:rPr>
              <w:t>-0.5%</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Written Premium (Allstate Protection) — FY2026</w:t>
            </w:r>
          </w:p>
        </w:tc>
        <w:tc>
          <w:tcPr>
            <w:tcW w:type="dxa" w:w="1080"/>
          </w:tcPr>
          <w:p>
            <w:r>
              <w:rPr>
                <w:rFonts w:ascii="Calibri" w:hAnsi="Calibri"/>
                <w:sz w:val="22"/>
              </w:rPr>
              <w:t>$61.47B</w:t>
            </w:r>
          </w:p>
        </w:tc>
        <w:tc>
          <w:tcPr>
            <w:tcW w:type="dxa" w:w="1080"/>
          </w:tcPr>
          <w:p>
            <w:r>
              <w:rPr>
                <w:rFonts w:ascii="Calibri" w:hAnsi="Calibri"/>
                <w:sz w:val="22"/>
              </w:rPr>
              <w:t>$61.34B</w:t>
            </w:r>
          </w:p>
        </w:tc>
        <w:tc>
          <w:tcPr>
            <w:tcW w:type="dxa" w:w="1080"/>
          </w:tcPr>
          <w:p>
            <w:r>
              <w:rPr>
                <w:rFonts w:ascii="Calibri" w:hAnsi="Calibri"/>
                <w:sz w:val="22"/>
              </w:rPr>
              <w:t>-0.2%</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Consensus and Actuals Data. Post-Q1 baseline as of May 5, 2026 (5 trading days after April 29 earnings). Current consensus as of August 4, 2026. Note: Allstate does not provide explicit quarterly EPS or combined ratio guidance; the FY targets (mid-90s auto, low-90s homeowners) are the operative benchmarks. The Q2 2026 combined ratio consensus of 91.9% does not yet fully reflect the disclosed $1.72B cat load, suggesting downside risk to the reported combined ratio even as the underlying may remain strong.</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ALL has rallied ~24% since the Q1 2026 earnings print (April 29), driven by a combination of estimate revisions and multiple re-rating as the market gains confidence in the sustainability of Allstate's profitability transformation — the stock is no longer pricing in a miss.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ALL indexed stock price since Q1 2026 earnings (April 29, 2026 = 100). Key events marked: May 2026 cat disclosure (8-K), June 2026 cat disclosure (8-K), CFO appointment (July 14). Source: Stock Price Data.</w:t>
      </w:r>
    </w:p>
    <w:p>
      <w:r>
        <w:rPr>
          <w:rFonts w:ascii="Calibri" w:hAnsi="Calibri"/>
          <w:color w:val="525866"/>
          <w:sz w:val="22"/>
        </w:rPr>
        <w:t xml:space="preserve">ALL closed at $212.33 on April 29 (earnings day) and reached $262.56 as of August 3, 2026, a gain of approximately </w:t>
      </w:r>
      <w:r>
        <w:rPr>
          <w:rFonts w:ascii="Calibri" w:hAnsi="Calibri"/>
          <w:b/>
          <w:color w:val="525866"/>
          <w:sz w:val="22"/>
        </w:rPr>
        <w:t>+23.7%</w:t>
      </w:r>
      <w:r>
        <w:rPr>
          <w:rFonts w:ascii="Calibri" w:hAnsi="Calibri"/>
          <w:color w:val="525866"/>
          <w:sz w:val="22"/>
        </w:rPr>
        <w:t xml:space="preserve"> since the last earnings date. The rally was broad-based: the stock initially dipped modestly on the Q1 print (muted reaction despite the large beat, consistent with the market having partially anticipated the outperformance), then re-accelerated through May and June as the May PIF data (8-K June 18) confirmed the growth trajectory was intact. The July 14 CFO appointment announcement (Christian Lown) caused a brief pullback from the $250 area, likely reflecting uncertainty around the leadership transition, but the stock recovered quickly. The disclosed Q2 cat load ($1.72B, July 16 8-K) did not materially derail the rally, suggesting the market is looking through the cat noise to the underlying profitability story. The sector ETF used for comparison is </w:t>
      </w:r>
      <w:r>
        <w:rPr>
          <w:rFonts w:ascii="Calibri" w:hAnsi="Calibri"/>
          <w:b/>
          <w:color w:val="525866"/>
          <w:sz w:val="22"/>
        </w:rPr>
        <w:t>KIE (SPDR S&amp;P Insurance ETF)</w:t>
      </w:r>
      <w:r>
        <w:rPr>
          <w:rFonts w:ascii="Calibri" w:hAnsi="Calibri"/>
          <w:color w:val="525866"/>
          <w:sz w:val="22"/>
        </w:rPr>
        <w:t>, which tracks the P&amp;C insurance sub-sector. Note: S&amp;P 500 data was unavailable in the dataset; the chart shows ALL's absolute indexed performance with key event markers.</w:t>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b/>
          <w:color w:val="525866"/>
          <w:sz w:val="22"/>
        </w:rPr>
        <w:t>Both Travelers (TRV, reported July 17) and Progressive (PGR, reported August 4) delivered strong Q2 2026 results with excellent underlying combined ratios, confirming that the personal lines profitability cycle remains intact — a clear positive read-through for ALL. The key nuance: both peers flagged increasing competition and moderating pricing, which is the environment ALL is deliberately leaning into with its growth pivot.</w:t>
      </w:r>
    </w:p>
    <w:p>
      <w:pPr>
        <w:pStyle w:val="Heading3"/>
      </w:pPr>
      <w:r>
        <w:rPr>
          <w:rFonts w:ascii="Calibri" w:hAnsi="Calibri"/>
          <w:b/>
          <w:color w:val="3B4259"/>
          <w:sz w:val="24"/>
        </w:rPr>
        <w:t>Travelers (TRV) — Q2 2026 Earnings (Reported July 17, 2026)</w:t>
      </w:r>
    </w:p>
    <w:p>
      <w:r>
        <w:rPr>
          <w:rFonts w:ascii="Calibri" w:hAnsi="Calibri"/>
          <w:b/>
          <w:color w:val="525866"/>
          <w:sz w:val="22"/>
        </w:rPr>
        <w:t xml:space="preserve">Read-Through Signal: </w:t>
      </w:r>
      <w:r>
        <w:rPr>
          <w:rFonts w:ascii="Calibri" w:hAnsi="Calibri"/>
          <w:b/>
          <w:color w:val="30A46C"/>
          <w:sz w:val="22"/>
        </w:rPr>
        <w:t>POSITIVE</w:t>
      </w:r>
      <w:r>
        <w:rPr>
          <w:rFonts w:ascii="Calibri" w:hAnsi="Calibri"/>
          <w:color w:val="525866"/>
          <w:sz w:val="22"/>
        </w:rPr>
        <w:t xml:space="preserve"> for ALL's underlying profitability; </w:t>
      </w:r>
      <w:r>
        <w:rPr>
          <w:rFonts w:ascii="Calibri" w:hAnsi="Calibri"/>
          <w:b/>
          <w:color w:val="525866"/>
          <w:sz w:val="22"/>
        </w:rPr>
        <w:t>MIXED</w:t>
      </w:r>
      <w:r>
        <w:rPr>
          <w:rFonts w:ascii="Calibri" w:hAnsi="Calibri"/>
          <w:color w:val="525866"/>
          <w:sz w:val="22"/>
        </w:rPr>
        <w:t xml:space="preserve"> on cat losses (TRV's cat load was ~$400M after-tax, manageable, but ALL's disclosed $1.72B pre-tax is far larger).</w:t>
      </w:r>
    </w:p>
    <w:p>
      <w:pPr>
        <w:pStyle w:val="ListBullet"/>
        <w:ind w:left="360" w:hanging="360"/>
      </w:pPr>
      <w:r>
        <w:rPr>
          <w:rFonts w:ascii="Calibri" w:hAnsi="Calibri"/>
          <w:b/>
          <w:color w:val="525866"/>
          <w:sz w:val="22"/>
        </w:rPr>
        <w:t xml:space="preserve">Exceptional underlying results: </w:t>
      </w:r>
      <w:r>
        <w:rPr>
          <w:rFonts w:ascii="Calibri" w:hAnsi="Calibri"/>
          <w:color w:val="525866"/>
          <w:sz w:val="22"/>
        </w:rPr>
        <w:t>TRV reported a Q2 2026 overall combined ratio of 83.6% and underlying combined ratio of 84.1%, with underlying underwriting income of $1.3B after-tax — the eighth consecutive quarter above $1B. This confirms the industry-wide profitability cycle is intact and not a one-off for ALL.</w:t>
      </w:r>
    </w:p>
    <w:p>
      <w:pPr>
        <w:pStyle w:val="ListBullet"/>
        <w:ind w:left="360" w:hanging="360"/>
      </w:pPr>
      <w:r>
        <w:rPr>
          <w:rFonts w:ascii="Calibri" w:hAnsi="Calibri"/>
          <w:b/>
          <w:color w:val="525866"/>
          <w:sz w:val="22"/>
        </w:rPr>
        <w:t>Personal lines auto underlying combined ratio of 85.8%</w:t>
      </w:r>
      <w:r>
        <w:rPr>
          <w:rFonts w:ascii="Calibri" w:hAnsi="Calibri"/>
          <w:color w:val="525866"/>
          <w:sz w:val="22"/>
        </w:rPr>
        <w:t xml:space="preserve"> (down ~3 pts YoY), driven by favorable frequency and severity across coverages. TRV noted that frequency improvement reflects a combination of favorable trends, improving vehicle technology, and advanced safety features — a tailwind that should benefit ALL's auto book as well.</w:t>
      </w:r>
    </w:p>
    <w:p>
      <w:pPr>
        <w:pStyle w:val="ListBullet"/>
        <w:ind w:left="360" w:hanging="360"/>
      </w:pPr>
      <w:r>
        <w:rPr>
          <w:rFonts w:ascii="Calibri" w:hAnsi="Calibri"/>
          <w:b/>
          <w:color w:val="525866"/>
          <w:sz w:val="22"/>
        </w:rPr>
        <w:t xml:space="preserve">Homeowners outstanding: </w:t>
      </w:r>
      <w:r>
        <w:rPr>
          <w:rFonts w:ascii="Calibri" w:hAnsi="Calibri"/>
          <w:color w:val="525866"/>
          <w:sz w:val="22"/>
        </w:rPr>
        <w:t>TRV's homeowners combined ratio was 76.7% with an underlying of 70.1%, comparable to a strong prior year. Retention was 85% and renewal premium change moderated to 6.6% as profitability improved — consistent with ALL's own homeowners trajectory.</w:t>
      </w:r>
    </w:p>
    <w:p>
      <w:pPr>
        <w:pStyle w:val="ListBullet"/>
        <w:ind w:left="360" w:hanging="360"/>
      </w:pPr>
      <w:r>
        <w:rPr>
          <w:rFonts w:ascii="Calibri" w:hAnsi="Calibri"/>
          <w:b/>
          <w:color w:val="525866"/>
          <w:sz w:val="22"/>
        </w:rPr>
        <w:t xml:space="preserve">Pricing moderating in auto: </w:t>
      </w:r>
      <w:r>
        <w:rPr>
          <w:rFonts w:ascii="Calibri" w:hAnsi="Calibri"/>
          <w:color w:val="525866"/>
          <w:sz w:val="22"/>
        </w:rPr>
        <w:t>TRV reported flat renewal premium change in auto, incorporating improved profitability into pricing. This mirrors ALL's net-neutral pricing posture and confirms the industry is transitioning from rate-hardening to growth mode.</w:t>
      </w:r>
    </w:p>
    <w:p>
      <w:pPr>
        <w:pStyle w:val="ListBullet"/>
        <w:ind w:left="360" w:hanging="360"/>
      </w:pPr>
      <w:r>
        <w:rPr>
          <w:rFonts w:ascii="Calibri" w:hAnsi="Calibri"/>
          <w:b/>
          <w:color w:val="525866"/>
          <w:sz w:val="22"/>
        </w:rPr>
        <w:t xml:space="preserve">Competition increasing: </w:t>
      </w:r>
      <w:r>
        <w:rPr>
          <w:rFonts w:ascii="Calibri" w:hAnsi="Calibri"/>
          <w:color w:val="525866"/>
          <w:sz w:val="22"/>
        </w:rPr>
        <w:t>TRV noted the market is competitive and explicitly stated it will not relax underwriting standards or pricing to grow faster ("that's a fool's errand"). This is a nuanced read-through — it validates ALL's disciplined approach but also signals that the easy pricing environment is behind the industry.</w:t>
      </w:r>
    </w:p>
    <w:p>
      <w:pPr>
        <w:pStyle w:val="ListBullet"/>
        <w:ind w:left="360" w:hanging="360"/>
      </w:pPr>
      <w:r>
        <w:rPr>
          <w:rFonts w:ascii="Calibri" w:hAnsi="Calibri"/>
          <w:b/>
          <w:color w:val="525866"/>
          <w:sz w:val="22"/>
        </w:rPr>
        <w:t xml:space="preserve">Favorable prior year reserve development: </w:t>
      </w:r>
      <w:r>
        <w:rPr>
          <w:rFonts w:ascii="Calibri" w:hAnsi="Calibri"/>
          <w:color w:val="525866"/>
          <w:sz w:val="22"/>
        </w:rPr>
        <w:t>TRV reported $578M pre-tax of net favorable PYD in Q2, including $184M in personal insurance (both home and auto). This is a direct positive read-through for ALL, which has also been releasing reserves from favorable 2023-2024 loss experience.</w:t>
      </w:r>
    </w:p>
    <w:p>
      <w:pPr>
        <w:pStyle w:val="ListBullet"/>
        <w:ind w:left="360" w:hanging="360"/>
      </w:pPr>
      <w:r>
        <w:rPr>
          <w:rFonts w:ascii="Calibri" w:hAnsi="Calibri"/>
          <w:b/>
          <w:color w:val="525866"/>
          <w:sz w:val="22"/>
        </w:rPr>
        <w:t xml:space="preserve">NII guidance: </w:t>
      </w:r>
      <w:r>
        <w:rPr>
          <w:rFonts w:ascii="Calibri" w:hAnsi="Calibri"/>
          <w:color w:val="525866"/>
          <w:sz w:val="22"/>
        </w:rPr>
        <w:t>TRV guided Q3 fixed income NII to ~$840M and Q4 to ~$870M, with NII expected to continue growing beyond 2026. This supports ALL's own NII trajectory, which has been a growing earnings contributor.</w:t>
      </w:r>
    </w:p>
    <w:p>
      <w:pPr>
        <w:pStyle w:val="Heading3"/>
      </w:pPr>
      <w:r>
        <w:rPr>
          <w:rFonts w:ascii="Calibri" w:hAnsi="Calibri"/>
          <w:b/>
          <w:color w:val="3B4259"/>
          <w:sz w:val="24"/>
        </w:rPr>
        <w:t>Progressive (PGR) — Q2 2026 Earnings (Reported August 4, 2026)</w:t>
      </w:r>
    </w:p>
    <w:p>
      <w:r>
        <w:rPr>
          <w:rFonts w:ascii="Calibri" w:hAnsi="Calibri"/>
          <w:b/>
          <w:color w:val="525866"/>
          <w:sz w:val="22"/>
        </w:rPr>
        <w:t xml:space="preserve">Read-Through Signal: </w:t>
      </w:r>
      <w:r>
        <w:rPr>
          <w:rFonts w:ascii="Calibri" w:hAnsi="Calibri"/>
          <w:b/>
          <w:color w:val="30A46C"/>
          <w:sz w:val="22"/>
        </w:rPr>
        <w:t>POSITIVE</w:t>
      </w:r>
      <w:r>
        <w:rPr>
          <w:rFonts w:ascii="Calibri" w:hAnsi="Calibri"/>
          <w:color w:val="525866"/>
          <w:sz w:val="22"/>
        </w:rPr>
        <w:t xml:space="preserve"> for ALL's growth strategy and homeowners profitability; </w:t>
      </w:r>
      <w:r>
        <w:rPr>
          <w:rFonts w:ascii="Calibri" w:hAnsi="Calibri"/>
          <w:b/>
          <w:color w:val="525866"/>
          <w:sz w:val="22"/>
        </w:rPr>
        <w:t>CAUTIONARY</w:t>
      </w:r>
      <w:r>
        <w:rPr>
          <w:rFonts w:ascii="Calibri" w:hAnsi="Calibri"/>
          <w:color w:val="525866"/>
          <w:sz w:val="22"/>
        </w:rPr>
        <w:t xml:space="preserve"> on competitive intensity in auto.</w:t>
      </w:r>
    </w:p>
    <w:p>
      <w:pPr>
        <w:pStyle w:val="ListBullet"/>
        <w:ind w:left="360" w:hanging="360"/>
      </w:pPr>
      <w:r>
        <w:rPr>
          <w:rFonts w:ascii="Calibri" w:hAnsi="Calibri"/>
          <w:b/>
          <w:color w:val="525866"/>
          <w:sz w:val="22"/>
        </w:rPr>
        <w:t xml:space="preserve">Auto market increasingly competitive: </w:t>
      </w:r>
      <w:r>
        <w:rPr>
          <w:rFonts w:ascii="Calibri" w:hAnsi="Calibri"/>
          <w:color w:val="525866"/>
          <w:sz w:val="22"/>
        </w:rPr>
        <w:t>PGR noted that competition is increasing, with more carriers taking on additional risk and growing appetite. Shopping activity remains elevated vs. historical standards but appears to be leveling off. PGR took auto rate decreases in 16 states (37% of countrywide NWP) in Q2, and year-to-date 30 states (63% of premium) have seen new business rate decreases. This is a direct read-through for ALL, which is also in rate-decrease mode in states with excess margin.</w:t>
      </w:r>
    </w:p>
    <w:p>
      <w:pPr>
        <w:pStyle w:val="ListBullet"/>
        <w:ind w:left="360" w:hanging="360"/>
      </w:pPr>
      <w:r>
        <w:rPr>
          <w:rFonts w:ascii="Calibri" w:hAnsi="Calibri"/>
          <w:b/>
          <w:color w:val="525866"/>
          <w:sz w:val="22"/>
        </w:rPr>
        <w:t>PGR's personal lines PIF growth slowing to 8%</w:t>
      </w:r>
      <w:r>
        <w:rPr>
          <w:rFonts w:ascii="Calibri" w:hAnsi="Calibri"/>
          <w:color w:val="525866"/>
          <w:sz w:val="22"/>
        </w:rPr>
        <w:t xml:space="preserve"> (from 16% the prior year), with PIF down from post-pandemic peaks due to consumer price sensitivity and mix shifts. This is a cautionary signal for ALL's own PIF growth ambitions, though ALL is earlier in its growth cycle.</w:t>
      </w:r>
    </w:p>
    <w:p>
      <w:pPr>
        <w:pStyle w:val="ListBullet"/>
        <w:ind w:left="360" w:hanging="360"/>
      </w:pPr>
      <w:r>
        <w:rPr>
          <w:rFonts w:ascii="Calibri" w:hAnsi="Calibri"/>
          <w:b/>
          <w:color w:val="525866"/>
          <w:sz w:val="22"/>
        </w:rPr>
        <w:t xml:space="preserve">Frequency stable and favorable: </w:t>
      </w:r>
      <w:r>
        <w:rPr>
          <w:rFonts w:ascii="Calibri" w:hAnsi="Calibri"/>
          <w:color w:val="525866"/>
          <w:sz w:val="22"/>
        </w:rPr>
        <w:t>PGR reported frequency down ~2.5% in Q2 and ~2% on a trailing 12-month basis, attributed to mix shift and a 4% decline in vehicle miles traveled. No signs of frequency ticking up. This is a positive read-through for ALL's auto loss cost trends.</w:t>
      </w:r>
    </w:p>
    <w:p>
      <w:pPr>
        <w:pStyle w:val="ListBullet"/>
        <w:ind w:left="360" w:hanging="360"/>
      </w:pPr>
      <w:r>
        <w:rPr>
          <w:rFonts w:ascii="Calibri" w:hAnsi="Calibri"/>
          <w:b/>
          <w:color w:val="525866"/>
          <w:sz w:val="22"/>
        </w:rPr>
        <w:t xml:space="preserve">Homeowners turnaround substantially complete: </w:t>
      </w:r>
      <w:r>
        <w:rPr>
          <w:rFonts w:ascii="Calibri" w:hAnsi="Calibri"/>
          <w:color w:val="525866"/>
          <w:sz w:val="22"/>
        </w:rPr>
        <w:t>PGR's property business delivered a year-to-date combined ratio of 78% in 2026, with states classified as healthy and well-positioned for growth expanding from 18 (May 2025) to 41 (June 2026). This mirrors ALL's own homeowners profitability story and validates the industry-wide improvement.</w:t>
      </w:r>
    </w:p>
    <w:p>
      <w:pPr>
        <w:pStyle w:val="ListBullet"/>
        <w:ind w:left="360" w:hanging="360"/>
      </w:pPr>
      <w:r>
        <w:rPr>
          <w:rFonts w:ascii="Calibri" w:hAnsi="Calibri"/>
          <w:b/>
          <w:color w:val="525866"/>
          <w:sz w:val="22"/>
        </w:rPr>
        <w:t xml:space="preserve">Robinson's (bundled auto+home) as the growth opportunity: </w:t>
      </w:r>
      <w:r>
        <w:rPr>
          <w:rFonts w:ascii="Calibri" w:hAnsi="Calibri"/>
          <w:color w:val="525866"/>
          <w:sz w:val="22"/>
        </w:rPr>
        <w:t>PGR highlighted bundled customers as generating ~70% higher lifetime premium than monoline auto. This is directly relevant to ALL, which bundles at high rates through its exclusive agent channel and views bundling as a key competitive advantage and growth driver.</w:t>
      </w:r>
    </w:p>
    <w:p>
      <w:pPr>
        <w:pStyle w:val="ListBullet"/>
        <w:ind w:left="360" w:hanging="360"/>
      </w:pPr>
      <w:r>
        <w:rPr>
          <w:rFonts w:ascii="Calibri" w:hAnsi="Calibri"/>
          <w:b/>
          <w:color w:val="525866"/>
          <w:sz w:val="22"/>
        </w:rPr>
        <w:t xml:space="preserve">AI initiatives producing meaningful results: </w:t>
      </w:r>
      <w:r>
        <w:rPr>
          <w:rFonts w:ascii="Calibri" w:hAnsi="Calibri"/>
          <w:color w:val="525866"/>
          <w:sz w:val="22"/>
        </w:rPr>
        <w:t>PGR noted ~dozens of advanced AI initiatives already generating results, with initial impact expected on the expense ratio. This validates ALL's own ALLIE/agentic AI investment thesis and suggests the industry is broadly moving in this direction.</w:t>
      </w:r>
    </w:p>
    <w:p>
      <w:pPr>
        <w:pStyle w:val="Heading3"/>
      </w:pPr>
      <w:r>
        <w:rPr>
          <w:rFonts w:ascii="Calibri" w:hAnsi="Calibri"/>
          <w:b/>
          <w:color w:val="3B4259"/>
          <w:sz w:val="24"/>
        </w:rPr>
        <w:t>AIG — Q1 2026 Earnings (Reported May 1, 2026) — Limited Read-Through</w:t>
      </w:r>
    </w:p>
    <w:p>
      <w:r>
        <w:rPr>
          <w:rFonts w:ascii="Calibri" w:hAnsi="Calibri"/>
          <w:b/>
          <w:color w:val="525866"/>
          <w:sz w:val="22"/>
        </w:rPr>
        <w:t xml:space="preserve">Read-Through Signal: </w:t>
      </w:r>
      <w:r>
        <w:rPr>
          <w:rFonts w:ascii="Calibri" w:hAnsi="Calibri"/>
          <w:b/>
          <w:color w:val="525866"/>
          <w:sz w:val="22"/>
        </w:rPr>
        <w:t>NEUTRAL</w:t>
      </w:r>
      <w:r>
        <w:rPr>
          <w:rFonts w:ascii="Calibri" w:hAnsi="Calibri"/>
          <w:color w:val="525866"/>
          <w:sz w:val="22"/>
        </w:rPr>
        <w:t xml:space="preserve"> — AIG is primarily a commercial lines insurer; limited direct read-through to ALL's personal lines business, but confirms broad industry profitability improvement.</w:t>
      </w:r>
    </w:p>
    <w:p>
      <w:pPr>
        <w:pStyle w:val="ListBullet"/>
        <w:ind w:left="360" w:hanging="360"/>
      </w:pPr>
      <w:r>
        <w:rPr>
          <w:rFonts w:ascii="Calibri" w:hAnsi="Calibri"/>
          <w:b/>
          <w:color w:val="525866"/>
          <w:sz w:val="22"/>
        </w:rPr>
        <w:t xml:space="preserve">Industry-wide profitability improvement confirmed: </w:t>
      </w:r>
      <w:r>
        <w:rPr>
          <w:rFonts w:ascii="Calibri" w:hAnsi="Calibri"/>
          <w:color w:val="525866"/>
          <w:sz w:val="22"/>
        </w:rPr>
        <w:t>AIG's Global Personal Insurance accident year combined ratio improved 570 bps to 89.9% in Q1 2026, and the General Insurance accident year combined ratio improved 120 bps to 86.6%. This confirms the broad industry profitability cycle.</w:t>
      </w:r>
    </w:p>
    <w:p>
      <w:pPr>
        <w:pStyle w:val="ListBullet"/>
        <w:ind w:left="360" w:hanging="360"/>
      </w:pPr>
      <w:r>
        <w:rPr>
          <w:rFonts w:ascii="Calibri" w:hAnsi="Calibri"/>
          <w:b/>
          <w:color w:val="525866"/>
          <w:sz w:val="22"/>
        </w:rPr>
        <w:t xml:space="preserve">Cat losses manageable: </w:t>
      </w:r>
      <w:r>
        <w:rPr>
          <w:rFonts w:ascii="Calibri" w:hAnsi="Calibri"/>
          <w:color w:val="525866"/>
          <w:sz w:val="22"/>
        </w:rPr>
        <w:t>AIG reported ~$180M in Q1 2026 cat losses (winter storms), well below ALL's Q2 cat load, reflecting AIG's different geographic and product mix.</w:t>
      </w:r>
    </w:p>
    <w:p>
      <w:pPr>
        <w:pStyle w:val="ListBullet"/>
        <w:ind w:left="360" w:hanging="360"/>
      </w:pPr>
      <w:r>
        <w:rPr>
          <w:rFonts w:ascii="Calibri" w:hAnsi="Calibri"/>
          <w:b/>
          <w:color w:val="525866"/>
          <w:sz w:val="22"/>
        </w:rPr>
        <w:t xml:space="preserve">North America Property pricing down 11%: </w:t>
      </w:r>
      <w:r>
        <w:rPr>
          <w:rFonts w:ascii="Calibri" w:hAnsi="Calibri"/>
          <w:color w:val="525866"/>
          <w:sz w:val="22"/>
        </w:rPr>
        <w:t>AIG noted significant pricing pressure in U.S. large account property, contracting its Lexington large account portfolio. This is a commercial lines dynamic with limited direct read-through to ALL's personal homeowners business, but signals that the broader property market is softening.</w:t>
      </w:r>
    </w:p>
    <w:p>
      <w:pPr>
        <w:pStyle w:val="ListBullet"/>
        <w:ind w:left="360" w:hanging="360"/>
      </w:pPr>
      <w:r>
        <w:rPr>
          <w:rFonts w:ascii="Calibri" w:hAnsi="Calibri"/>
          <w:b/>
          <w:color w:val="525866"/>
          <w:sz w:val="22"/>
        </w:rPr>
        <w:t xml:space="preserve">Favorable prior year reserve development: </w:t>
      </w:r>
      <w:r>
        <w:rPr>
          <w:rFonts w:ascii="Calibri" w:hAnsi="Calibri"/>
          <w:color w:val="525866"/>
          <w:sz w:val="22"/>
        </w:rPr>
        <w:t>AIG reported $132M of favorable loss reserve development in Q1, driven by U.S. Property and Financial Lines. Consistent with the industry-wide trend of favorable reserve development that has benefited ALL.</w:t>
      </w:r>
    </w:p>
    <w:p>
      <w:r>
        <w:rPr>
          <w:rFonts w:ascii="Calibri" w:hAnsi="Calibri"/>
          <w:b/>
          <w:color w:val="525866"/>
          <w:sz w:val="22"/>
        </w:rPr>
        <w:t xml:space="preserve">Note on peer selection: </w:t>
      </w:r>
      <w:r>
        <w:rPr>
          <w:rFonts w:ascii="Calibri" w:hAnsi="Calibri"/>
          <w:color w:val="525866"/>
          <w:sz w:val="22"/>
        </w:rPr>
        <w:t>The most relevant read-throughs for ALL are TRV and PGR, both of which report Q2 2026 results before ALL's August 6 call. AIG's Q1 2026 commentary is included for completeness but is less directly applicable given AIG's commercial lines focus. PGR's Q2 2026 transcript (reported August 4) is the freshest and most directly comparable data point.</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b/>
          <w:color w:val="525866"/>
          <w:sz w:val="22"/>
        </w:rPr>
        <w:t>The most important development since Q1 earnings is the disclosed $1.72B Q2 catastrophe loss (July 16 8-K), which is the primary headwind to the reported combined ratio. The CFO transition (Christian Lown, effective August 3) is the second most significant development and introduces modest uncertainty around capital allocation messaging.</w:t>
      </w:r>
    </w:p>
    <w:p>
      <w:pPr>
        <w:pStyle w:val="ListBullet"/>
        <w:ind w:left="360" w:hanging="360"/>
      </w:pPr>
      <w:r>
        <w:rPr>
          <w:rFonts w:ascii="Calibri" w:hAnsi="Calibri"/>
          <w:b/>
          <w:color w:val="525866"/>
          <w:sz w:val="22"/>
        </w:rPr>
        <w:t xml:space="preserve">July 16, 2026 — Q2 2026 Catastrophe Loss Disclosure (8-K): </w:t>
      </w:r>
      <w:r>
        <w:rPr>
          <w:rFonts w:ascii="Calibri" w:hAnsi="Calibri"/>
          <w:i/>
          <w:color w:val="525866"/>
          <w:sz w:val="22"/>
        </w:rPr>
        <w:t xml:space="preserve">Allstate disclosed estimated Q2 2026 catastrophe losses of $1.72B pre-tax ($1.36B after-tax), with June alone contributing $563M pre-tax ($445M after-tax). April+May combined were $1.16B pre-tax. This is the single most important data point for the Q2 print — the disclosed cat load will weigh heavily on the reported combined ratio and operating EPS, though the underlying combined ratio (ex-cat) remains the cleaner signal of business health. </w:t>
      </w:r>
      <w:r>
        <w:rPr>
          <w:rFonts w:ascii="Calibri" w:hAnsi="Calibri"/>
          <w:b/>
          <w:i/>
          <w:color w:val="525866"/>
          <w:sz w:val="22"/>
        </w:rPr>
        <w:t xml:space="preserve">Implication: </w:t>
      </w:r>
      <w:r>
        <w:rPr>
          <w:rFonts w:ascii="Calibri" w:hAnsi="Calibri"/>
          <w:i/>
          <w:color w:val="525866"/>
          <w:sz w:val="22"/>
        </w:rPr>
        <w:t>Reported combined ratio will likely be well above the 91.9% consensus; focus will shift to underlying combined ratio and whether management reaffirms the growth trajectory.</w:t>
      </w:r>
    </w:p>
    <w:p>
      <w:pPr>
        <w:pStyle w:val="ListBullet"/>
        <w:ind w:left="360" w:hanging="360"/>
      </w:pPr>
      <w:r>
        <w:rPr>
          <w:rFonts w:ascii="Calibri" w:hAnsi="Calibri"/>
          <w:b/>
          <w:color w:val="525866"/>
          <w:sz w:val="22"/>
        </w:rPr>
        <w:t xml:space="preserve">July 14, 2026 — CFO Appointment (8-K): </w:t>
      </w:r>
      <w:r>
        <w:rPr>
          <w:rFonts w:ascii="Calibri" w:hAnsi="Calibri"/>
          <w:i/>
          <w:color w:val="525866"/>
          <w:sz w:val="22"/>
        </w:rPr>
        <w:t xml:space="preserve">Allstate named Christian (Chris) Lown as EVP and CFO, effective August 3, 2026. Lown brings 25+ years of capital markets experience, previously serving as CFO at CoStar Group, Freddie Mac, and Navient, with senior roles at Morgan Stanley and UBS. He succeeds interim CFO John Dugenske (President of Investments and Corporate Strategy). CEO Tom Wilson highlighted Lown's "capital markets expertise" as enabling continued market share growth. </w:t>
      </w:r>
      <w:r>
        <w:rPr>
          <w:rFonts w:ascii="Calibri" w:hAnsi="Calibri"/>
          <w:b/>
          <w:i/>
          <w:color w:val="525866"/>
          <w:sz w:val="22"/>
        </w:rPr>
        <w:t xml:space="preserve">Implication: </w:t>
      </w:r>
      <w:r>
        <w:rPr>
          <w:rFonts w:ascii="Calibri" w:hAnsi="Calibri"/>
          <w:i/>
          <w:color w:val="525866"/>
          <w:sz w:val="22"/>
        </w:rPr>
        <w:t>New CFO's first earnings call; watch for any shift in capital allocation messaging or financial targets. The emphasis on capital markets expertise may signal more aggressive investor relations or potential M&amp;A activity.</w:t>
      </w:r>
    </w:p>
    <w:p>
      <w:pPr>
        <w:pStyle w:val="ListBullet"/>
        <w:ind w:left="360" w:hanging="360"/>
      </w:pPr>
      <w:r>
        <w:rPr>
          <w:rFonts w:ascii="Calibri" w:hAnsi="Calibri"/>
          <w:b/>
          <w:color w:val="525866"/>
          <w:sz w:val="22"/>
        </w:rPr>
        <w:t xml:space="preserve">June 18, 2026 — May 2026 Catastrophe Losses &amp; Policies in Force (8-K): </w:t>
      </w:r>
      <w:r>
        <w:rPr>
          <w:rFonts w:ascii="Calibri" w:hAnsi="Calibri"/>
          <w:i/>
          <w:color w:val="525866"/>
          <w:sz w:val="22"/>
        </w:rPr>
        <w:t xml:space="preserve">Allstate disclosed May 2026 cat losses of $289M pre-tax ($228M after-tax), with April+May combined at $1.16B pre-tax. Also disclosed May 31 PIF data: Auto 25,901K (+2.7% YoY), Homeowners 7,788K (+2.6% YoY), Total Allstate Protection 38,799K (+2.4% YoY). </w:t>
      </w:r>
      <w:r>
        <w:rPr>
          <w:rFonts w:ascii="Calibri" w:hAnsi="Calibri"/>
          <w:b/>
          <w:i/>
          <w:color w:val="525866"/>
          <w:sz w:val="22"/>
        </w:rPr>
        <w:t xml:space="preserve">Implication: </w:t>
      </w:r>
      <w:r>
        <w:rPr>
          <w:rFonts w:ascii="Calibri" w:hAnsi="Calibri"/>
          <w:i/>
          <w:color w:val="525866"/>
          <w:sz w:val="22"/>
        </w:rPr>
        <w:t>PIF growth trajectory confirmed on track; cat losses building through the quarter.</w:t>
      </w:r>
    </w:p>
    <w:p>
      <w:pPr>
        <w:pStyle w:val="ListBullet"/>
        <w:ind w:left="360" w:hanging="360"/>
      </w:pPr>
      <w:r>
        <w:rPr>
          <w:rFonts w:ascii="Calibri" w:hAnsi="Calibri"/>
          <w:b/>
          <w:color w:val="525866"/>
          <w:sz w:val="22"/>
        </w:rPr>
        <w:t xml:space="preserve">Peer Read-Through — TRV Q2 2026 (July 17): </w:t>
      </w:r>
      <w:r>
        <w:rPr>
          <w:rFonts w:ascii="Calibri" w:hAnsi="Calibri"/>
          <w:i/>
          <w:color w:val="525866"/>
          <w:sz w:val="22"/>
        </w:rPr>
        <w:t xml:space="preserve">Travelers reported an excellent Q2 with combined ratio of 83.6% and underlying of 84.1%, with $578M of favorable prior year reserve development. Personal lines auto underlying combined ratio of 85.8% (down ~3 pts YoY). </w:t>
      </w:r>
      <w:r>
        <w:rPr>
          <w:rFonts w:ascii="Calibri" w:hAnsi="Calibri"/>
          <w:b/>
          <w:i/>
          <w:color w:val="525866"/>
          <w:sz w:val="22"/>
        </w:rPr>
        <w:t xml:space="preserve">Implication: </w:t>
      </w:r>
      <w:r>
        <w:rPr>
          <w:rFonts w:ascii="Calibri" w:hAnsi="Calibri"/>
          <w:i/>
          <w:color w:val="525866"/>
          <w:sz w:val="22"/>
        </w:rPr>
        <w:t>Positive read-through for ALL's underlying profitability; confirms industry-wide favorable frequency/severity trends and reserve development cycle.</w:t>
      </w:r>
    </w:p>
    <w:p>
      <w:pPr>
        <w:pStyle w:val="ListBullet"/>
        <w:ind w:left="360" w:hanging="360"/>
      </w:pPr>
      <w:r>
        <w:rPr>
          <w:rFonts w:ascii="Calibri" w:hAnsi="Calibri"/>
          <w:b/>
          <w:color w:val="525866"/>
          <w:sz w:val="22"/>
        </w:rPr>
        <w:t xml:space="preserve">Peer Read-Through — PGR Q2 2026 (August 4): </w:t>
      </w:r>
      <w:r>
        <w:rPr>
          <w:rFonts w:ascii="Calibri" w:hAnsi="Calibri"/>
          <w:i/>
          <w:color w:val="525866"/>
          <w:sz w:val="22"/>
        </w:rPr>
        <w:t xml:space="preserve">Progressive reported strong Q2 results with personal lines PIF growth of 8%, year-to-date property combined ratio of 78%, and frequency down ~2.5%. Took auto rate decreases in 16 states (37% of NWP). </w:t>
      </w:r>
      <w:r>
        <w:rPr>
          <w:rFonts w:ascii="Calibri" w:hAnsi="Calibri"/>
          <w:b/>
          <w:i/>
          <w:color w:val="525866"/>
          <w:sz w:val="22"/>
        </w:rPr>
        <w:t xml:space="preserve">Implication: </w:t>
      </w:r>
      <w:r>
        <w:rPr>
          <w:rFonts w:ascii="Calibri" w:hAnsi="Calibri"/>
          <w:i/>
          <w:color w:val="525866"/>
          <w:sz w:val="22"/>
        </w:rPr>
        <w:t>Confirms favorable frequency trends and homeowners profitability; competitive intensity in auto increasing as more carriers lower rates.</w:t>
      </w:r>
    </w:p>
    <w:p>
      <w:pPr>
        <w:pStyle w:val="ListBullet"/>
        <w:ind w:left="360" w:hanging="360"/>
      </w:pPr>
      <w:r>
        <w:rPr>
          <w:rFonts w:ascii="Calibri" w:hAnsi="Calibri"/>
          <w:b/>
          <w:color w:val="525866"/>
          <w:sz w:val="22"/>
        </w:rPr>
        <w:t xml:space="preserve">Analyst Action — KBW Downgrade (June 8, 2026): </w:t>
      </w:r>
      <w:r>
        <w:rPr>
          <w:rFonts w:ascii="Calibri" w:hAnsi="Calibri"/>
          <w:i/>
          <w:color w:val="525866"/>
          <w:sz w:val="22"/>
        </w:rPr>
        <w:t xml:space="preserve">Keefe, Bruyette &amp; Woods downgraded ALL from Outperform to Market Perform. </w:t>
      </w:r>
      <w:r>
        <w:rPr>
          <w:rFonts w:ascii="Calibri" w:hAnsi="Calibri"/>
          <w:b/>
          <w:i/>
          <w:color w:val="525866"/>
          <w:sz w:val="22"/>
        </w:rPr>
        <w:t xml:space="preserve">Implication: </w:t>
      </w:r>
      <w:r>
        <w:rPr>
          <w:rFonts w:ascii="Calibri" w:hAnsi="Calibri"/>
          <w:i/>
          <w:color w:val="525866"/>
          <w:sz w:val="22"/>
        </w:rPr>
        <w:t>Likely reflects valuation concerns after the stock's strong run; the downgrade did not derail the rally, suggesting the market is more focused on fundamentals than sell-side ratings.</w:t>
      </w:r>
    </w:p>
    <w:p>
      <w:pPr>
        <w:pStyle w:val="ListBullet"/>
        <w:ind w:left="360" w:hanging="360"/>
      </w:pPr>
      <w:r>
        <w:rPr>
          <w:rFonts w:ascii="Calibri" w:hAnsi="Calibri"/>
          <w:b/>
          <w:color w:val="525866"/>
          <w:sz w:val="22"/>
        </w:rPr>
        <w:t xml:space="preserve">Q2 2026 Earnings Call Scheduled (July 6 Press Release): </w:t>
      </w:r>
      <w:r>
        <w:rPr>
          <w:rFonts w:ascii="Calibri" w:hAnsi="Calibri"/>
          <w:color w:val="525866"/>
          <w:sz w:val="22"/>
        </w:rPr>
        <w:t>Allstate confirmed the Q2 2026 earnings call for August 6, 2026. This is the first call with new CFO Christian Lown in the role.</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No open-market buys or discretionary sells by senior executives since Q1 earnings. The only notable transaction is COO Mario Rizzo's option exercise and same-day sale of 18,578 shares (May 1) — a routine option monetization, not a discretionary signal. CEO Tom Wilson's transactions were option transfers between LLC entities, not open-market activity. Overall, insider activity is unremarkable and does not send a directional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Rizzo, Mario</w:t>
            </w:r>
          </w:p>
        </w:tc>
        <w:tc>
          <w:tcPr>
            <w:tcW w:type="dxa" w:w="1440"/>
          </w:tcPr>
          <w:p>
            <w:r>
              <w:rPr>
                <w:rFonts w:ascii="Calibri" w:hAnsi="Calibri"/>
                <w:sz w:val="22"/>
              </w:rPr>
              <w:t>COO — AIC</w:t>
            </w:r>
          </w:p>
        </w:tc>
        <w:tc>
          <w:tcPr>
            <w:tcW w:type="dxa" w:w="1440"/>
          </w:tcPr>
          <w:p>
            <w:r>
              <w:rPr>
                <w:rFonts w:ascii="Calibri" w:hAnsi="Calibri"/>
                <w:sz w:val="22"/>
              </w:rPr>
              <w:t>Option Exercise + Open Market Sale</w:t>
            </w:r>
          </w:p>
        </w:tc>
        <w:tc>
          <w:tcPr>
            <w:tcW w:type="dxa" w:w="1440"/>
          </w:tcPr>
          <w:p>
            <w:r>
              <w:rPr>
                <w:rFonts w:ascii="Calibri" w:hAnsi="Calibri"/>
                <w:sz w:val="22"/>
              </w:rPr>
              <w:t>18,578 shares sold</w:t>
            </w:r>
          </w:p>
        </w:tc>
        <w:tc>
          <w:tcPr>
            <w:tcW w:type="dxa" w:w="1440"/>
          </w:tcPr>
          <w:p>
            <w:r>
              <w:rPr>
                <w:rFonts w:ascii="Calibri" w:hAnsi="Calibri"/>
                <w:sz w:val="22"/>
              </w:rPr>
              <w:t>May 1, 2026</w:t>
            </w:r>
          </w:p>
        </w:tc>
        <w:tc>
          <w:tcPr>
            <w:tcW w:type="dxa" w:w="1440"/>
          </w:tcPr>
          <w:p>
            <w:r>
              <w:rPr>
                <w:rFonts w:ascii="Calibri" w:hAnsi="Calibri"/>
                <w:sz w:val="22"/>
              </w:rPr>
              <w:t>Routine option monetization (code M exercise + S sale); not a discretionary open-market sell signal</w:t>
            </w:r>
          </w:p>
        </w:tc>
      </w:tr>
      <w:tr>
        <w:tc>
          <w:tcPr>
            <w:tcW w:type="dxa" w:w="1440"/>
          </w:tcPr>
          <w:p>
            <w:r>
              <w:rPr>
                <w:rFonts w:ascii="Calibri" w:hAnsi="Calibri"/>
                <w:sz w:val="22"/>
              </w:rPr>
              <w:t>Wilson, Thomas J.</w:t>
            </w:r>
          </w:p>
        </w:tc>
        <w:tc>
          <w:tcPr>
            <w:tcW w:type="dxa" w:w="1440"/>
          </w:tcPr>
          <w:p>
            <w:r>
              <w:rPr>
                <w:rFonts w:ascii="Calibri" w:hAnsi="Calibri"/>
                <w:sz w:val="22"/>
              </w:rPr>
              <w:t>Chairman, President &amp; CEO</w:t>
            </w:r>
          </w:p>
        </w:tc>
        <w:tc>
          <w:tcPr>
            <w:tcW w:type="dxa" w:w="1440"/>
          </w:tcPr>
          <w:p>
            <w:r>
              <w:rPr>
                <w:rFonts w:ascii="Calibri" w:hAnsi="Calibri"/>
                <w:sz w:val="22"/>
              </w:rPr>
              <w:t>Option Transfer (between LLC entities)</w:t>
            </w:r>
          </w:p>
        </w:tc>
        <w:tc>
          <w:tcPr>
            <w:tcW w:type="dxa" w:w="1440"/>
          </w:tcPr>
          <w:p>
            <w:r>
              <w:rPr>
                <w:rFonts w:ascii="Calibri" w:hAnsi="Calibri"/>
                <w:sz w:val="22"/>
              </w:rPr>
              <w:t>60,692 + 10,461 options transferred</w:t>
            </w:r>
          </w:p>
        </w:tc>
        <w:tc>
          <w:tcPr>
            <w:tcW w:type="dxa" w:w="1440"/>
          </w:tcPr>
          <w:p>
            <w:r>
              <w:rPr>
                <w:rFonts w:ascii="Calibri" w:hAnsi="Calibri"/>
                <w:sz w:val="22"/>
              </w:rPr>
              <w:t>May 7, 2026</w:t>
            </w:r>
          </w:p>
        </w:tc>
        <w:tc>
          <w:tcPr>
            <w:tcW w:type="dxa" w:w="1440"/>
          </w:tcPr>
          <w:p>
            <w:r>
              <w:rPr>
                <w:rFonts w:ascii="Calibri" w:hAnsi="Calibri"/>
                <w:sz w:val="22"/>
              </w:rPr>
              <w:t>Code G (gift/transfer between related entities — TJW Options LLC series); not an open-market sale; no cash proceeds</w:t>
            </w:r>
          </w:p>
        </w:tc>
      </w:tr>
      <w:tr>
        <w:tc>
          <w:tcPr>
            <w:tcW w:type="dxa" w:w="1440"/>
          </w:tcPr>
          <w:p>
            <w:r>
              <w:rPr>
                <w:rFonts w:ascii="Calibri" w:hAnsi="Calibri"/>
                <w:sz w:val="22"/>
              </w:rPr>
              <w:t>Carter, Andrea M.</w:t>
            </w:r>
          </w:p>
        </w:tc>
        <w:tc>
          <w:tcPr>
            <w:tcW w:type="dxa" w:w="1440"/>
          </w:tcPr>
          <w:p>
            <w:r>
              <w:rPr>
                <w:rFonts w:ascii="Calibri" w:hAnsi="Calibri"/>
                <w:sz w:val="22"/>
              </w:rPr>
              <w:t>EVP, Chief HR Officer — AIC</w:t>
            </w:r>
          </w:p>
        </w:tc>
        <w:tc>
          <w:tcPr>
            <w:tcW w:type="dxa" w:w="1440"/>
          </w:tcPr>
          <w:p>
            <w:r>
              <w:rPr>
                <w:rFonts w:ascii="Calibri" w:hAnsi="Calibri"/>
                <w:sz w:val="22"/>
              </w:rPr>
              <w:t>RSU Vest + Tax Withholding Sale</w:t>
            </w:r>
          </w:p>
        </w:tc>
        <w:tc>
          <w:tcPr>
            <w:tcW w:type="dxa" w:w="1440"/>
          </w:tcPr>
          <w:p>
            <w:r>
              <w:rPr>
                <w:rFonts w:ascii="Calibri" w:hAnsi="Calibri"/>
                <w:sz w:val="22"/>
              </w:rPr>
              <w:t>4,025 shares vested; 1,654 withheld for taxes</w:t>
            </w:r>
          </w:p>
        </w:tc>
        <w:tc>
          <w:tcPr>
            <w:tcW w:type="dxa" w:w="1440"/>
          </w:tcPr>
          <w:p>
            <w:r>
              <w:rPr>
                <w:rFonts w:ascii="Calibri" w:hAnsi="Calibri"/>
                <w:sz w:val="22"/>
              </w:rPr>
              <w:t>June 4, 2026</w:t>
            </w:r>
          </w:p>
        </w:tc>
        <w:tc>
          <w:tcPr>
            <w:tcW w:type="dxa" w:w="1440"/>
          </w:tcPr>
          <w:p>
            <w:r>
              <w:rPr>
                <w:rFonts w:ascii="Calibri" w:hAnsi="Calibri"/>
                <w:sz w:val="22"/>
              </w:rPr>
              <w:t>Code F (tax withholding on RSU vest); obligation-driven, not discretionary</w:t>
            </w:r>
          </w:p>
        </w:tc>
      </w:tr>
      <w:tr>
        <w:tc>
          <w:tcPr>
            <w:tcW w:type="dxa" w:w="1440"/>
          </w:tcPr>
          <w:p>
            <w:r>
              <w:rPr>
                <w:rFonts w:ascii="Calibri" w:hAnsi="Calibri"/>
                <w:sz w:val="22"/>
              </w:rPr>
              <w:t>Ferren, Eric K.</w:t>
            </w:r>
          </w:p>
        </w:tc>
        <w:tc>
          <w:tcPr>
            <w:tcW w:type="dxa" w:w="1440"/>
          </w:tcPr>
          <w:p>
            <w:r>
              <w:rPr>
                <w:rFonts w:ascii="Calibri" w:hAnsi="Calibri"/>
                <w:sz w:val="22"/>
              </w:rPr>
              <w:t>SVP, Controller &amp; CAO</w:t>
            </w:r>
          </w:p>
        </w:tc>
        <w:tc>
          <w:tcPr>
            <w:tcW w:type="dxa" w:w="1440"/>
          </w:tcPr>
          <w:p>
            <w:r>
              <w:rPr>
                <w:rFonts w:ascii="Calibri" w:hAnsi="Calibri"/>
                <w:sz w:val="22"/>
              </w:rPr>
              <w:t>RSU Vest + Tax Withholding Sale</w:t>
            </w:r>
          </w:p>
        </w:tc>
        <w:tc>
          <w:tcPr>
            <w:tcW w:type="dxa" w:w="1440"/>
          </w:tcPr>
          <w:p>
            <w:r>
              <w:rPr>
                <w:rFonts w:ascii="Calibri" w:hAnsi="Calibri"/>
                <w:sz w:val="22"/>
              </w:rPr>
              <w:t>245 shares vested; 72 withheld for taxes</w:t>
            </w:r>
          </w:p>
        </w:tc>
        <w:tc>
          <w:tcPr>
            <w:tcW w:type="dxa" w:w="1440"/>
          </w:tcPr>
          <w:p>
            <w:r>
              <w:rPr>
                <w:rFonts w:ascii="Calibri" w:hAnsi="Calibri"/>
                <w:sz w:val="22"/>
              </w:rPr>
              <w:t>June 5, 2026</w:t>
            </w:r>
          </w:p>
        </w:tc>
        <w:tc>
          <w:tcPr>
            <w:tcW w:type="dxa" w:w="1440"/>
          </w:tcPr>
          <w:p>
            <w:r>
              <w:rPr>
                <w:rFonts w:ascii="Calibri" w:hAnsi="Calibri"/>
                <w:sz w:val="22"/>
              </w:rPr>
              <w:t>Code F (tax withholding on RSU vest); obligation-driven, not discretionary</w:t>
            </w:r>
          </w:p>
        </w:tc>
      </w:tr>
      <w:tr>
        <w:tc>
          <w:tcPr>
            <w:tcW w:type="dxa" w:w="1440"/>
          </w:tcPr>
          <w:p>
            <w:r>
              <w:rPr>
                <w:rFonts w:ascii="Calibri" w:hAnsi="Calibri"/>
                <w:sz w:val="22"/>
              </w:rPr>
              <w:t>Multiple Directors (Brown, Crawford, Mehta, Morris, Traquina, Turner)</w:t>
            </w:r>
          </w:p>
        </w:tc>
        <w:tc>
          <w:tcPr>
            <w:tcW w:type="dxa" w:w="1440"/>
          </w:tcPr>
          <w:p>
            <w:r>
              <w:rPr>
                <w:rFonts w:ascii="Calibri" w:hAnsi="Calibri"/>
                <w:sz w:val="22"/>
              </w:rPr>
              <w:t>Board Directors</w:t>
            </w:r>
          </w:p>
        </w:tc>
        <w:tc>
          <w:tcPr>
            <w:tcW w:type="dxa" w:w="1440"/>
          </w:tcPr>
          <w:p>
            <w:r>
              <w:rPr>
                <w:rFonts w:ascii="Calibri" w:hAnsi="Calibri"/>
                <w:sz w:val="22"/>
              </w:rPr>
              <w:t>RSU Grant (Annual Director Compensation)</w:t>
            </w:r>
          </w:p>
        </w:tc>
        <w:tc>
          <w:tcPr>
            <w:tcW w:type="dxa" w:w="1440"/>
          </w:tcPr>
          <w:p>
            <w:r>
              <w:rPr>
                <w:rFonts w:ascii="Calibri" w:hAnsi="Calibri"/>
                <w:sz w:val="22"/>
              </w:rPr>
              <w:t>917 RSUs each (June 1); 1,603–2,225 shares vested (June 1)</w:t>
            </w:r>
          </w:p>
        </w:tc>
        <w:tc>
          <w:tcPr>
            <w:tcW w:type="dxa" w:w="1440"/>
          </w:tcPr>
          <w:p>
            <w:r>
              <w:rPr>
                <w:rFonts w:ascii="Calibri" w:hAnsi="Calibri"/>
                <w:sz w:val="22"/>
              </w:rPr>
              <w:t>June 1, 2026</w:t>
            </w:r>
          </w:p>
        </w:tc>
        <w:tc>
          <w:tcPr>
            <w:tcW w:type="dxa" w:w="1440"/>
          </w:tcPr>
          <w:p>
            <w:r>
              <w:rPr>
                <w:rFonts w:ascii="Calibri" w:hAnsi="Calibri"/>
                <w:sz w:val="22"/>
              </w:rPr>
              <w:t>Code A (grant) and Code M (RSU vest); routine annual director compensation cycle; not a market signal</w:t>
            </w:r>
          </w:p>
        </w:tc>
      </w:tr>
      <w:tr>
        <w:tc>
          <w:tcPr>
            <w:tcW w:type="dxa" w:w="1440"/>
          </w:tcPr>
          <w:p>
            <w:r>
              <w:rPr>
                <w:rFonts w:ascii="Calibri" w:hAnsi="Calibri"/>
                <w:sz w:val="22"/>
              </w:rPr>
              <w:t>Prindiville, Mark Q.</w:t>
            </w:r>
          </w:p>
        </w:tc>
        <w:tc>
          <w:tcPr>
            <w:tcW w:type="dxa" w:w="1440"/>
          </w:tcPr>
          <w:p>
            <w:r>
              <w:rPr>
                <w:rFonts w:ascii="Calibri" w:hAnsi="Calibri"/>
                <w:sz w:val="22"/>
              </w:rPr>
              <w:t>Former Section 16 Officer</w:t>
            </w:r>
          </w:p>
        </w:tc>
        <w:tc>
          <w:tcPr>
            <w:tcW w:type="dxa" w:w="1440"/>
          </w:tcPr>
          <w:p>
            <w:r>
              <w:rPr>
                <w:rFonts w:ascii="Calibri" w:hAnsi="Calibri"/>
                <w:sz w:val="22"/>
              </w:rPr>
              <w:t>RSU Vest</w:t>
            </w:r>
          </w:p>
        </w:tc>
        <w:tc>
          <w:tcPr>
            <w:tcW w:type="dxa" w:w="1440"/>
          </w:tcPr>
          <w:p>
            <w:r>
              <w:rPr>
                <w:rFonts w:ascii="Calibri" w:hAnsi="Calibri"/>
                <w:sz w:val="22"/>
              </w:rPr>
              <w:t>1,550 shares vested</w:t>
            </w:r>
          </w:p>
        </w:tc>
        <w:tc>
          <w:tcPr>
            <w:tcW w:type="dxa" w:w="1440"/>
          </w:tcPr>
          <w:p>
            <w:r>
              <w:rPr>
                <w:rFonts w:ascii="Calibri" w:hAnsi="Calibri"/>
                <w:sz w:val="22"/>
              </w:rPr>
              <w:t>May 22, 2026</w:t>
            </w:r>
          </w:p>
        </w:tc>
        <w:tc>
          <w:tcPr>
            <w:tcW w:type="dxa" w:w="1440"/>
          </w:tcPr>
          <w:p>
            <w:r>
              <w:rPr>
                <w:rFonts w:ascii="Calibri" w:hAnsi="Calibri"/>
                <w:sz w:val="22"/>
              </w:rPr>
              <w:t>Code M (RSU vest); former officer; no open-market activity</w:t>
            </w:r>
          </w:p>
        </w:tc>
      </w:tr>
    </w:tbl>
    <w:p>
      <w:r>
        <w:rPr>
          <w:rFonts w:ascii="Calibri" w:hAnsi="Calibri"/>
          <w:color w:val="525866"/>
          <w:sz w:val="22"/>
        </w:rPr>
        <w:t xml:space="preserve">Source: Insider Transaction Data (SEC Form 4 filings, April 29 – August 4, 2026). Open-market buys (code P) and discretionary open-market sells (code S): </w:t>
      </w:r>
      <w:r>
        <w:rPr>
          <w:rFonts w:ascii="Calibri" w:hAnsi="Calibri"/>
          <w:b/>
          <w:color w:val="525866"/>
          <w:sz w:val="22"/>
        </w:rPr>
        <w:t>zero</w:t>
      </w:r>
      <w:r>
        <w:rPr>
          <w:rFonts w:ascii="Calibri" w:hAnsi="Calibri"/>
          <w:color w:val="525866"/>
          <w:sz w:val="22"/>
        </w:rPr>
        <w:t xml:space="preserve"> since Q1 earnings. The only code S transaction is Rizzo's same-day option exercise and sale (a standard cashless exercise), which is not a discretionary bearish signal. No 10b5-1 plan initiations or terminations were disclosed in the period. The absence of any open-market buying by senior management at current price levels (~$250-275) is notable given the stock's strong run, but is not unusual for a company in active share repurchase mode.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