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Allstate Corporation (ALL)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Allstate Corporation</w:t>
            </w:r>
          </w:p>
        </w:tc>
      </w:tr>
      <w:tr>
        <w:tc>
          <w:tcPr>
            <w:tcW w:type="dxa" w:w="4320"/>
          </w:tcPr>
          <w:p>
            <w:r>
              <w:rPr>
                <w:rFonts w:ascii="Calibri" w:hAnsi="Calibri"/>
                <w:b/>
                <w:sz w:val="22"/>
              </w:rPr>
              <w:t>Ticker</w:t>
            </w:r>
          </w:p>
        </w:tc>
        <w:tc>
          <w:tcPr>
            <w:tcW w:type="dxa" w:w="4320"/>
          </w:tcPr>
          <w:p>
            <w:r>
              <w:rPr>
                <w:rFonts w:ascii="Calibri" w:hAnsi="Calibri"/>
                <w:sz w:val="22"/>
              </w:rPr>
              <w:t>ALL (NYSE)</w:t>
            </w:r>
          </w:p>
        </w:tc>
      </w:tr>
      <w:tr>
        <w:tc>
          <w:tcPr>
            <w:tcW w:type="dxa" w:w="4320"/>
          </w:tcPr>
          <w:p>
            <w:r>
              <w:rPr>
                <w:rFonts w:ascii="Calibri" w:hAnsi="Calibri"/>
                <w:b/>
                <w:sz w:val="22"/>
              </w:rPr>
              <w:t>Upcoming Earnings Date</w:t>
            </w:r>
          </w:p>
        </w:tc>
        <w:tc>
          <w:tcPr>
            <w:tcW w:type="dxa" w:w="4320"/>
          </w:tcPr>
          <w:p>
            <w:r>
              <w:rPr>
                <w:rFonts w:ascii="Calibri" w:hAnsi="Calibri"/>
                <w:sz w:val="22"/>
              </w:rPr>
              <w:t>August 6, 2026 (Q2 2026 Earnings Call, 9:00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mixed — consensus is a manageable bar on EPS but catastrophe losses disclosed via 8-K ($1.72B pre-tax for the full quarter) represent a meaningful headwind that will weigh on reported results, making the </w:t>
      </w:r>
    </w:p>
    <w:p>
      <w:r>
        <w:rPr>
          <w:rFonts w:ascii="Calibri" w:hAnsi="Calibri"/>
          <w:color w:val="525866"/>
          <w:sz w:val="22"/>
        </w:rPr>
        <w:t>underlying combined ratio and policy-in-force growth the real swing factors for how the market reacts.</w:t>
      </w:r>
    </w:p>
    <w:p>
      <w:r>
        <w:rPr>
          <w:rFonts w:ascii="Calibri" w:hAnsi="Calibri"/>
          <w:color w:val="525866"/>
          <w:sz w:val="22"/>
        </w:rPr>
        <w:t xml:space="preserve">Allstate heads into Q2 2026 earnings with a story of two halves: exceptional underlying profitability and accelerating policy growth on one side, and elevated catastrophe losses on the other. Management disclosed $1.72 billion in Q2 catastrophe losses pre-tax ($1.36B after-tax) via monthly 8-K releases — a figure well above Q1's benign cat experience and likely to compress the reported combined ratio materially versus Q1's standout 82.0. The consensus bar for operating EPS sits at approximately $6.03, a step-down from Q1's $10.65 actual, reflecting the market's awareness of the cat load. </w:t>
      </w:r>
    </w:p>
    <w:p>
      <w:r>
        <w:rPr>
          <w:rFonts w:ascii="Calibri" w:hAnsi="Calibri"/>
          <w:color w:val="525866"/>
          <w:sz w:val="22"/>
        </w:rPr>
        <w:t xml:space="preserve">Estimate revisions have been volatile but constructive: the 2Q 2026 EPS consensus stood at $4.74 as of five days post-Q1 earnings (May 6, 2026) and has since risen to $6.03, suggesting analysts have grown more confident in the underlying business even as they model higher cats. The stock has rallied approximately 24% since the Q1 print (April 29, 2026), outperforming the KIE sector ETF (+13%) and the S&amp;P 500 (+6.5%), implying the market has already priced in a degree of outperformance. </w:t>
      </w:r>
    </w:p>
    <w:p>
      <w:r>
        <w:rPr>
          <w:rFonts w:ascii="Calibri" w:hAnsi="Calibri"/>
          <w:color w:val="525866"/>
          <w:sz w:val="22"/>
        </w:rPr>
        <w:t>Management's posture on the Q1 call was notably growth-oriented — explicitly willing to trade some margin for faster policy growth and higher valuation multiples — and the monthly PIF data through May confirms that trajectory (auto PIF +2.7% YoY, homeowners +2.6% YoY). The wildcard heading into the print is whether the underlying combined ratio (ex-cat, ex-reserve development) holds near Q1's 80.3% level or deteriorates, and whether management provides any updated commentary on the competitive pricing environment given Progressive's aggressive rate cuts in 37% of its premium base during Q2.</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EPS given the known cat load, but the </w:t>
      </w:r>
    </w:p>
    <w:p>
      <w:r>
        <w:rPr>
          <w:rFonts w:ascii="Calibri" w:hAnsi="Calibri"/>
          <w:color w:val="525866"/>
          <w:sz w:val="22"/>
        </w:rPr>
        <w:t>underlying combined ratio is the bigger swing factor — a beat there would signal the core business is performing above expectations even in a heavy-cat quarter.</w:t>
      </w:r>
    </w:p>
    <w:p>
      <w:pPr>
        <w:pStyle w:val="Heading2"/>
      </w:pPr>
      <w:r>
        <w:rPr>
          <w:rFonts w:ascii="Calibri" w:hAnsi="Calibri"/>
          <w:b/>
          <w:color w:val="3B4259"/>
          <w:sz w:val="28"/>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$10.65</w:t>
            </w:r>
          </w:p>
        </w:tc>
        <w:tc>
          <w:tcPr>
            <w:tcW w:type="dxa" w:w="1234"/>
          </w:tcPr>
          <w:p>
            <w:r>
              <w:rPr>
                <w:rFonts w:ascii="Calibri" w:hAnsi="Calibri"/>
                <w:sz w:val="22"/>
              </w:rPr>
              <w:t>$5.94</w:t>
            </w:r>
          </w:p>
        </w:tc>
        <w:tc>
          <w:tcPr>
            <w:tcW w:type="dxa" w:w="1234"/>
          </w:tcPr>
          <w:p>
            <w:r>
              <w:rPr>
                <w:rFonts w:ascii="Calibri" w:hAnsi="Calibri"/>
                <w:sz w:val="22"/>
              </w:rPr>
              <w:t>$6.03</w:t>
            </w:r>
          </w:p>
        </w:tc>
        <w:tc>
          <w:tcPr>
            <w:tcW w:type="dxa" w:w="1234"/>
          </w:tcPr>
          <w:p>
            <w:r>
              <w:rPr>
                <w:rFonts w:ascii="Calibri" w:hAnsi="Calibri"/>
                <w:sz w:val="22"/>
              </w:rPr>
              <w:t>+1.5% YoY</w:t>
            </w:r>
          </w:p>
        </w:tc>
        <w:tc>
          <w:tcPr>
            <w:tcW w:type="dxa" w:w="1234"/>
          </w:tcPr>
          <w:p>
            <w:r>
              <w:rPr>
                <w:rFonts w:ascii="Calibri" w:hAnsi="Calibri"/>
                <w:sz w:val="22"/>
              </w:rPr>
              <w:t>No specific quarterly EPS guidance provided</w:t>
            </w:r>
          </w:p>
        </w:tc>
        <w:tc>
          <w:tcPr>
            <w:tcW w:type="dxa" w:w="1234"/>
          </w:tcPr>
          <w:p>
            <w:r>
              <w:rPr>
                <w:rFonts w:ascii="Calibri" w:hAnsi="Calibri"/>
                <w:sz w:val="22"/>
              </w:rPr>
              <w:t>N/A</w:t>
            </w:r>
          </w:p>
        </w:tc>
      </w:tr>
      <w:tr>
        <w:tc>
          <w:tcPr>
            <w:tcW w:type="dxa" w:w="1234"/>
          </w:tcPr>
          <w:p>
            <w:r>
              <w:rPr>
                <w:rFonts w:ascii="Calibri" w:hAnsi="Calibri"/>
                <w:sz w:val="22"/>
              </w:rPr>
              <w:t>Adj. Combined Ratio — Allstate Protection (ex-Cat, ex-Reserve)</w:t>
            </w:r>
          </w:p>
        </w:tc>
        <w:tc>
          <w:tcPr>
            <w:tcW w:type="dxa" w:w="1234"/>
          </w:tcPr>
          <w:p>
            <w:r>
              <w:rPr>
                <w:rFonts w:ascii="Calibri" w:hAnsi="Calibri"/>
                <w:sz w:val="22"/>
              </w:rPr>
              <w:t>80.3%</w:t>
            </w:r>
          </w:p>
        </w:tc>
        <w:tc>
          <w:tcPr>
            <w:tcW w:type="dxa" w:w="1234"/>
          </w:tcPr>
          <w:p>
            <w:r>
              <w:rPr>
                <w:rFonts w:ascii="Calibri" w:hAnsi="Calibri"/>
                <w:sz w:val="22"/>
              </w:rPr>
              <w:t>79.5%</w:t>
            </w:r>
          </w:p>
        </w:tc>
        <w:tc>
          <w:tcPr>
            <w:tcW w:type="dxa" w:w="1234"/>
          </w:tcPr>
          <w:p>
            <w:r>
              <w:rPr>
                <w:rFonts w:ascii="Calibri" w:hAnsi="Calibri"/>
                <w:sz w:val="22"/>
              </w:rPr>
              <w:t>80.8%</w:t>
            </w:r>
          </w:p>
        </w:tc>
        <w:tc>
          <w:tcPr>
            <w:tcW w:type="dxa" w:w="1234"/>
          </w:tcPr>
          <w:p>
            <w:r>
              <w:rPr>
                <w:rFonts w:ascii="Calibri" w:hAnsi="Calibri"/>
                <w:sz w:val="22"/>
              </w:rPr>
              <w:t>+130 bps YoY</w:t>
            </w:r>
          </w:p>
        </w:tc>
        <w:tc>
          <w:tcPr>
            <w:tcW w:type="dxa" w:w="1234"/>
          </w:tcPr>
          <w:p>
            <w:r>
              <w:rPr>
                <w:rFonts w:ascii="Calibri" w:hAnsi="Calibri"/>
                <w:sz w:val="22"/>
              </w:rPr>
              <w:t>Auto target: mid-90s; Homeowners target: low-90s (underlying)</w:t>
            </w:r>
          </w:p>
        </w:tc>
        <w:tc>
          <w:tcPr>
            <w:tcW w:type="dxa" w:w="1234"/>
          </w:tcPr>
          <w:p>
            <w:r>
              <w:rPr>
                <w:rFonts w:ascii="Calibri" w:hAnsi="Calibri"/>
                <w:sz w:val="22"/>
              </w:rPr>
              <w:t>Well below targets (favorable)</w:t>
            </w:r>
          </w:p>
        </w:tc>
      </w:tr>
      <w:tr>
        <w:tc>
          <w:tcPr>
            <w:tcW w:type="dxa" w:w="1234"/>
          </w:tcPr>
          <w:p>
            <w:r>
              <w:rPr>
                <w:rFonts w:ascii="Calibri" w:hAnsi="Calibri"/>
                <w:sz w:val="22"/>
              </w:rPr>
              <w:t>Auto Policies in Force (K)</w:t>
            </w:r>
          </w:p>
        </w:tc>
        <w:tc>
          <w:tcPr>
            <w:tcW w:type="dxa" w:w="1234"/>
          </w:tcPr>
          <w:p>
            <w:r>
              <w:rPr>
                <w:rFonts w:ascii="Calibri" w:hAnsi="Calibri"/>
                <w:sz w:val="22"/>
              </w:rPr>
              <w:t>25,758K</w:t>
            </w:r>
          </w:p>
        </w:tc>
        <w:tc>
          <w:tcPr>
            <w:tcW w:type="dxa" w:w="1234"/>
          </w:tcPr>
          <w:p>
            <w:r>
              <w:rPr>
                <w:rFonts w:ascii="Calibri" w:hAnsi="Calibri"/>
                <w:sz w:val="22"/>
              </w:rPr>
              <w:t>25,243K</w:t>
            </w:r>
          </w:p>
        </w:tc>
        <w:tc>
          <w:tcPr>
            <w:tcW w:type="dxa" w:w="1234"/>
          </w:tcPr>
          <w:p>
            <w:r>
              <w:rPr>
                <w:rFonts w:ascii="Calibri" w:hAnsi="Calibri"/>
                <w:sz w:val="22"/>
              </w:rPr>
              <w:t>25,949K</w:t>
            </w:r>
          </w:p>
        </w:tc>
        <w:tc>
          <w:tcPr>
            <w:tcW w:type="dxa" w:w="1234"/>
          </w:tcPr>
          <w:p>
            <w:r>
              <w:rPr>
                <w:rFonts w:ascii="Calibri" w:hAnsi="Calibri"/>
                <w:sz w:val="22"/>
              </w:rPr>
              <w:t>+2.8% YoY</w:t>
            </w:r>
          </w:p>
        </w:tc>
        <w:tc>
          <w:tcPr>
            <w:tcW w:type="dxa" w:w="1234"/>
          </w:tcPr>
          <w:p>
            <w:r>
              <w:rPr>
                <w:rFonts w:ascii="Calibri" w:hAnsi="Calibri"/>
                <w:sz w:val="22"/>
              </w:rPr>
              <w:t>Continued growth; management targets acceleration</w:t>
            </w:r>
          </w:p>
        </w:tc>
        <w:tc>
          <w:tcPr>
            <w:tcW w:type="dxa" w:w="1234"/>
          </w:tcPr>
          <w:p>
            <w:r>
              <w:rPr>
                <w:rFonts w:ascii="Calibri" w:hAnsi="Calibri"/>
                <w:sz w:val="22"/>
              </w:rPr>
              <w:t>Tracking above prior year</w:t>
            </w:r>
          </w:p>
        </w:tc>
      </w:tr>
      <w:tr>
        <w:tc>
          <w:tcPr>
            <w:tcW w:type="dxa" w:w="1234"/>
          </w:tcPr>
          <w:p>
            <w:r>
              <w:rPr>
                <w:rFonts w:ascii="Calibri" w:hAnsi="Calibri"/>
                <w:sz w:val="22"/>
              </w:rPr>
              <w:t>Homeowners Policies in Force (K)</w:t>
            </w:r>
          </w:p>
        </w:tc>
        <w:tc>
          <w:tcPr>
            <w:tcW w:type="dxa" w:w="1234"/>
          </w:tcPr>
          <w:p>
            <w:r>
              <w:rPr>
                <w:rFonts w:ascii="Calibri" w:hAnsi="Calibri"/>
                <w:sz w:val="22"/>
              </w:rPr>
              <w:t>7,739K</w:t>
            </w:r>
          </w:p>
        </w:tc>
        <w:tc>
          <w:tcPr>
            <w:tcW w:type="dxa" w:w="1234"/>
          </w:tcPr>
          <w:p>
            <w:r>
              <w:rPr>
                <w:rFonts w:ascii="Calibri" w:hAnsi="Calibri"/>
                <w:sz w:val="22"/>
              </w:rPr>
              <w:t>7,596K</w:t>
            </w:r>
          </w:p>
        </w:tc>
        <w:tc>
          <w:tcPr>
            <w:tcW w:type="dxa" w:w="1234"/>
          </w:tcPr>
          <w:p>
            <w:r>
              <w:rPr>
                <w:rFonts w:ascii="Calibri" w:hAnsi="Calibri"/>
                <w:sz w:val="22"/>
              </w:rPr>
              <w:t>7,792K</w:t>
            </w:r>
          </w:p>
        </w:tc>
        <w:tc>
          <w:tcPr>
            <w:tcW w:type="dxa" w:w="1234"/>
          </w:tcPr>
          <w:p>
            <w:r>
              <w:rPr>
                <w:rFonts w:ascii="Calibri" w:hAnsi="Calibri"/>
                <w:sz w:val="22"/>
              </w:rPr>
              <w:t>+2.6% YoY</w:t>
            </w:r>
          </w:p>
        </w:tc>
        <w:tc>
          <w:tcPr>
            <w:tcW w:type="dxa" w:w="1234"/>
          </w:tcPr>
          <w:p>
            <w:r>
              <w:rPr>
                <w:rFonts w:ascii="Calibri" w:hAnsi="Calibri"/>
                <w:sz w:val="22"/>
              </w:rPr>
              <w:t>Continued growth; management targets acceleration</w:t>
            </w:r>
          </w:p>
        </w:tc>
        <w:tc>
          <w:tcPr>
            <w:tcW w:type="dxa" w:w="1234"/>
          </w:tcPr>
          <w:p>
            <w:r>
              <w:rPr>
                <w:rFonts w:ascii="Calibri" w:hAnsi="Calibri"/>
                <w:sz w:val="22"/>
              </w:rPr>
              <w:t>Tracking above prior year</w:t>
            </w:r>
          </w:p>
        </w:tc>
      </w:tr>
      <w:tr>
        <w:tc>
          <w:tcPr>
            <w:tcW w:type="dxa" w:w="1234"/>
          </w:tcPr>
          <w:p>
            <w:r>
              <w:rPr>
                <w:rFonts w:ascii="Calibri" w:hAnsi="Calibri"/>
                <w:sz w:val="22"/>
              </w:rPr>
              <w:t>Net Investment Income — Allstate Protection</w:t>
            </w:r>
          </w:p>
        </w:tc>
        <w:tc>
          <w:tcPr>
            <w:tcW w:type="dxa" w:w="1234"/>
          </w:tcPr>
          <w:p>
            <w:r>
              <w:rPr>
                <w:rFonts w:ascii="Calibri" w:hAnsi="Calibri"/>
                <w:sz w:val="22"/>
              </w:rPr>
              <w:t>$845M</w:t>
            </w:r>
          </w:p>
        </w:tc>
        <w:tc>
          <w:tcPr>
            <w:tcW w:type="dxa" w:w="1234"/>
          </w:tcPr>
          <w:p>
            <w:r>
              <w:rPr>
                <w:rFonts w:ascii="Calibri" w:hAnsi="Calibri"/>
                <w:sz w:val="22"/>
              </w:rPr>
              <w:t>$687M</w:t>
            </w:r>
          </w:p>
        </w:tc>
        <w:tc>
          <w:tcPr>
            <w:tcW w:type="dxa" w:w="1234"/>
          </w:tcPr>
          <w:p>
            <w:r>
              <w:rPr>
                <w:rFonts w:ascii="Calibri" w:hAnsi="Calibri"/>
                <w:sz w:val="22"/>
              </w:rPr>
              <w:t>$768M</w:t>
            </w:r>
          </w:p>
        </w:tc>
        <w:tc>
          <w:tcPr>
            <w:tcW w:type="dxa" w:w="1234"/>
          </w:tcPr>
          <w:p>
            <w:r>
              <w:rPr>
                <w:rFonts w:ascii="Calibri" w:hAnsi="Calibri"/>
                <w:sz w:val="22"/>
              </w:rPr>
              <w:t>+11.8% YoY</w:t>
            </w:r>
          </w:p>
        </w:tc>
        <w:tc>
          <w:tcPr>
            <w:tcW w:type="dxa" w:w="1234"/>
          </w:tcPr>
          <w:p>
            <w:r>
              <w:rPr>
                <w:rFonts w:ascii="Calibri" w:hAnsi="Calibri"/>
                <w:sz w:val="22"/>
              </w:rPr>
              <w:t>No specific guidance; portfolio repositioning ongoing</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August 4,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$10.65</w:t>
            </w:r>
          </w:p>
        </w:tc>
        <w:tc>
          <w:tcPr>
            <w:tcW w:type="dxa" w:w="1728"/>
          </w:tcPr>
          <w:p>
            <w:r>
              <w:rPr>
                <w:rFonts w:ascii="Calibri" w:hAnsi="Calibri"/>
                <w:sz w:val="22"/>
              </w:rPr>
              <w:t>$7.11</w:t>
            </w:r>
          </w:p>
        </w:tc>
        <w:tc>
          <w:tcPr>
            <w:tcW w:type="dxa" w:w="1728"/>
          </w:tcPr>
          <w:p>
            <w:r>
              <w:rPr>
                <w:rFonts w:ascii="Calibri" w:hAnsi="Calibri"/>
                <w:b/>
                <w:color w:val="30A46C"/>
                <w:sz w:val="22"/>
              </w:rPr>
              <w:t>+49.7%</w:t>
            </w:r>
          </w:p>
        </w:tc>
        <w:tc>
          <w:tcPr>
            <w:tcW w:type="dxa" w:w="1728"/>
          </w:tcPr>
          <w:p>
            <w:r>
              <w:rPr>
                <w:rFonts w:ascii="Calibri" w:hAnsi="Calibri"/>
                <w:sz w:val="22"/>
              </w:rPr>
              <w:t>Large Beat</w:t>
            </w:r>
          </w:p>
        </w:tc>
      </w:tr>
      <w:tr>
        <w:tc>
          <w:tcPr>
            <w:tcW w:type="dxa" w:w="1728"/>
          </w:tcPr>
          <w:p>
            <w:r>
              <w:rPr>
                <w:rFonts w:ascii="Calibri" w:hAnsi="Calibri"/>
                <w:sz w:val="22"/>
              </w:rPr>
              <w:t>Q4 2025</w:t>
            </w:r>
          </w:p>
        </w:tc>
        <w:tc>
          <w:tcPr>
            <w:tcW w:type="dxa" w:w="1728"/>
          </w:tcPr>
          <w:p>
            <w:r>
              <w:rPr>
                <w:rFonts w:ascii="Calibri" w:hAnsi="Calibri"/>
                <w:sz w:val="22"/>
              </w:rPr>
              <w:t>$14.31</w:t>
            </w:r>
          </w:p>
        </w:tc>
        <w:tc>
          <w:tcPr>
            <w:tcW w:type="dxa" w:w="1728"/>
          </w:tcPr>
          <w:p>
            <w:r>
              <w:rPr>
                <w:rFonts w:ascii="Calibri" w:hAnsi="Calibri"/>
                <w:sz w:val="22"/>
              </w:rPr>
              <w:t>$10.02</w:t>
            </w:r>
          </w:p>
        </w:tc>
        <w:tc>
          <w:tcPr>
            <w:tcW w:type="dxa" w:w="1728"/>
          </w:tcPr>
          <w:p>
            <w:r>
              <w:rPr>
                <w:rFonts w:ascii="Calibri" w:hAnsi="Calibri"/>
                <w:b/>
                <w:color w:val="30A46C"/>
                <w:sz w:val="22"/>
              </w:rPr>
              <w:t>+42.8%</w:t>
            </w:r>
          </w:p>
        </w:tc>
        <w:tc>
          <w:tcPr>
            <w:tcW w:type="dxa" w:w="1728"/>
          </w:tcPr>
          <w:p>
            <w:r>
              <w:rPr>
                <w:rFonts w:ascii="Calibri" w:hAnsi="Calibri"/>
                <w:sz w:val="22"/>
              </w:rPr>
              <w:t>Large Beat</w:t>
            </w:r>
          </w:p>
        </w:tc>
      </w:tr>
      <w:tr>
        <w:tc>
          <w:tcPr>
            <w:tcW w:type="dxa" w:w="1728"/>
          </w:tcPr>
          <w:p>
            <w:r>
              <w:rPr>
                <w:rFonts w:ascii="Calibri" w:hAnsi="Calibri"/>
                <w:sz w:val="22"/>
              </w:rPr>
              <w:t>Q3 2025</w:t>
            </w:r>
          </w:p>
        </w:tc>
        <w:tc>
          <w:tcPr>
            <w:tcW w:type="dxa" w:w="1728"/>
          </w:tcPr>
          <w:p>
            <w:r>
              <w:rPr>
                <w:rFonts w:ascii="Calibri" w:hAnsi="Calibri"/>
                <w:sz w:val="22"/>
              </w:rPr>
              <w:t>$11.17</w:t>
            </w:r>
          </w:p>
        </w:tc>
        <w:tc>
          <w:tcPr>
            <w:tcW w:type="dxa" w:w="1728"/>
          </w:tcPr>
          <w:p>
            <w:r>
              <w:rPr>
                <w:rFonts w:ascii="Calibri" w:hAnsi="Calibri"/>
                <w:sz w:val="22"/>
              </w:rPr>
              <w:t>$7.28</w:t>
            </w:r>
          </w:p>
        </w:tc>
        <w:tc>
          <w:tcPr>
            <w:tcW w:type="dxa" w:w="1728"/>
          </w:tcPr>
          <w:p>
            <w:r>
              <w:rPr>
                <w:rFonts w:ascii="Calibri" w:hAnsi="Calibri"/>
                <w:b/>
                <w:color w:val="30A46C"/>
                <w:sz w:val="22"/>
              </w:rPr>
              <w:t>+53.4%</w:t>
            </w:r>
          </w:p>
        </w:tc>
        <w:tc>
          <w:tcPr>
            <w:tcW w:type="dxa" w:w="1728"/>
          </w:tcPr>
          <w:p>
            <w:r>
              <w:rPr>
                <w:rFonts w:ascii="Calibri" w:hAnsi="Calibri"/>
                <w:sz w:val="22"/>
              </w:rPr>
              <w:t>Large Beat</w:t>
            </w:r>
          </w:p>
        </w:tc>
      </w:tr>
      <w:tr>
        <w:tc>
          <w:tcPr>
            <w:tcW w:type="dxa" w:w="1728"/>
          </w:tcPr>
          <w:p>
            <w:r>
              <w:rPr>
                <w:rFonts w:ascii="Calibri" w:hAnsi="Calibri"/>
                <w:sz w:val="22"/>
              </w:rPr>
              <w:t>Q2 2025</w:t>
            </w:r>
          </w:p>
        </w:tc>
        <w:tc>
          <w:tcPr>
            <w:tcW w:type="dxa" w:w="1728"/>
          </w:tcPr>
          <w:p>
            <w:r>
              <w:rPr>
                <w:rFonts w:ascii="Calibri" w:hAnsi="Calibri"/>
                <w:sz w:val="22"/>
              </w:rPr>
              <w:t>$5.94</w:t>
            </w:r>
          </w:p>
        </w:tc>
        <w:tc>
          <w:tcPr>
            <w:tcW w:type="dxa" w:w="1728"/>
          </w:tcPr>
          <w:p>
            <w:r>
              <w:rPr>
                <w:rFonts w:ascii="Calibri" w:hAnsi="Calibri"/>
                <w:sz w:val="22"/>
              </w:rPr>
              <w:t>$3.28</w:t>
            </w:r>
          </w:p>
        </w:tc>
        <w:tc>
          <w:tcPr>
            <w:tcW w:type="dxa" w:w="1728"/>
          </w:tcPr>
          <w:p>
            <w:r>
              <w:rPr>
                <w:rFonts w:ascii="Calibri" w:hAnsi="Calibri"/>
                <w:b/>
                <w:color w:val="30A46C"/>
                <w:sz w:val="22"/>
              </w:rPr>
              <w:t>+81.1%</w:t>
            </w:r>
          </w:p>
        </w:tc>
        <w:tc>
          <w:tcPr>
            <w:tcW w:type="dxa" w:w="1728"/>
          </w:tcPr>
          <w:p>
            <w:r>
              <w:rPr>
                <w:rFonts w:ascii="Calibri" w:hAnsi="Calibri"/>
                <w:sz w:val="22"/>
              </w:rPr>
              <w:t>Large Beat</w:t>
            </w:r>
          </w:p>
        </w:tc>
      </w:tr>
      <w:tr>
        <w:tc>
          <w:tcPr>
            <w:tcW w:type="dxa" w:w="1728"/>
          </w:tcPr>
          <w:p>
            <w:r>
              <w:rPr>
                <w:rFonts w:ascii="Calibri" w:hAnsi="Calibri"/>
                <w:sz w:val="22"/>
              </w:rPr>
              <w:t>Q1 2025</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Note: </w:t>
      </w:r>
      <w:r>
        <w:rPr>
          <w:rFonts w:ascii="Calibri" w:hAnsi="Calibri"/>
          <w:color w:val="525866"/>
          <w:sz w:val="22"/>
        </w:rPr>
        <w:t>Allstate has beaten operating EPS consensus in each of the last four reported quarters with very large positive surprises (ranging from +43% to +81%), reflecting a sustained period of underwriting outperformance driven by favorable loss trends, large prior-year reserve releases, and lower-than-expected catastrophe losses. The Q2 2026 bar is set against a known heavy cat quarter, so the beat/miss dynamic will hinge on underlying performance and reserve development.</w:t>
      </w:r>
    </w:p>
    <w:p>
      <w:pPr>
        <w:pStyle w:val="Heading3"/>
      </w:pPr>
      <w:r>
        <w:rPr>
          <w:rFonts w:ascii="Calibri" w:hAnsi="Calibri"/>
          <w:b/>
          <w:color w:val="3B4259"/>
          <w:sz w:val="24"/>
        </w:rPr>
        <w:t>Adj. Combined Ratio — Allstate Protection (ex-Cat, ex-Reserve)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80.3%</w:t>
            </w:r>
          </w:p>
        </w:tc>
        <w:tc>
          <w:tcPr>
            <w:tcW w:type="dxa" w:w="1728"/>
          </w:tcPr>
          <w:p>
            <w:r>
              <w:rPr>
                <w:rFonts w:ascii="Calibri" w:hAnsi="Calibri"/>
                <w:sz w:val="22"/>
              </w:rPr>
              <w:t>81.7%</w:t>
            </w:r>
          </w:p>
        </w:tc>
        <w:tc>
          <w:tcPr>
            <w:tcW w:type="dxa" w:w="1728"/>
          </w:tcPr>
          <w:p>
            <w:r>
              <w:rPr>
                <w:rFonts w:ascii="Calibri" w:hAnsi="Calibri"/>
                <w:b/>
                <w:color w:val="30A46C"/>
                <w:sz w:val="22"/>
              </w:rPr>
              <w:t>−140 bps</w:t>
            </w:r>
          </w:p>
        </w:tc>
        <w:tc>
          <w:tcPr>
            <w:tcW w:type="dxa" w:w="1728"/>
          </w:tcPr>
          <w:p>
            <w:r>
              <w:rPr>
                <w:rFonts w:ascii="Calibri" w:hAnsi="Calibri"/>
                <w:sz w:val="22"/>
              </w:rPr>
              <w:t>Beat (lower is better)</w:t>
            </w:r>
          </w:p>
        </w:tc>
      </w:tr>
      <w:tr>
        <w:tc>
          <w:tcPr>
            <w:tcW w:type="dxa" w:w="1728"/>
          </w:tcPr>
          <w:p>
            <w:r>
              <w:rPr>
                <w:rFonts w:ascii="Calibri" w:hAnsi="Calibri"/>
                <w:sz w:val="22"/>
              </w:rPr>
              <w:t>Q4 2025</w:t>
            </w:r>
          </w:p>
        </w:tc>
        <w:tc>
          <w:tcPr>
            <w:tcW w:type="dxa" w:w="1728"/>
          </w:tcPr>
          <w:p>
            <w:r>
              <w:rPr>
                <w:rFonts w:ascii="Calibri" w:hAnsi="Calibri"/>
                <w:sz w:val="22"/>
              </w:rPr>
              <w:t>76.6%</w:t>
            </w:r>
          </w:p>
        </w:tc>
        <w:tc>
          <w:tcPr>
            <w:tcW w:type="dxa" w:w="1728"/>
          </w:tcPr>
          <w:p>
            <w:r>
              <w:rPr>
                <w:rFonts w:ascii="Calibri" w:hAnsi="Calibri"/>
                <w:sz w:val="22"/>
              </w:rPr>
              <w:t>81.1%</w:t>
            </w:r>
          </w:p>
        </w:tc>
        <w:tc>
          <w:tcPr>
            <w:tcW w:type="dxa" w:w="1728"/>
          </w:tcPr>
          <w:p>
            <w:r>
              <w:rPr>
                <w:rFonts w:ascii="Calibri" w:hAnsi="Calibri"/>
                <w:b/>
                <w:color w:val="30A46C"/>
                <w:sz w:val="22"/>
              </w:rPr>
              <w:t>−450 bps</w:t>
            </w:r>
          </w:p>
        </w:tc>
        <w:tc>
          <w:tcPr>
            <w:tcW w:type="dxa" w:w="1728"/>
          </w:tcPr>
          <w:p>
            <w:r>
              <w:rPr>
                <w:rFonts w:ascii="Calibri" w:hAnsi="Calibri"/>
                <w:sz w:val="22"/>
              </w:rPr>
              <w:t>Large Beat</w:t>
            </w:r>
          </w:p>
        </w:tc>
      </w:tr>
      <w:tr>
        <w:tc>
          <w:tcPr>
            <w:tcW w:type="dxa" w:w="1728"/>
          </w:tcPr>
          <w:p>
            <w:r>
              <w:rPr>
                <w:rFonts w:ascii="Calibri" w:hAnsi="Calibri"/>
                <w:sz w:val="22"/>
              </w:rPr>
              <w:t>Q3 2025</w:t>
            </w:r>
          </w:p>
        </w:tc>
        <w:tc>
          <w:tcPr>
            <w:tcW w:type="dxa" w:w="1728"/>
          </w:tcPr>
          <w:p>
            <w:r>
              <w:rPr>
                <w:rFonts w:ascii="Calibri" w:hAnsi="Calibri"/>
                <w:sz w:val="22"/>
              </w:rPr>
              <w:t>78.7%</w:t>
            </w:r>
          </w:p>
        </w:tc>
        <w:tc>
          <w:tcPr>
            <w:tcW w:type="dxa" w:w="1728"/>
          </w:tcPr>
          <w:p>
            <w:r>
              <w:rPr>
                <w:rFonts w:ascii="Calibri" w:hAnsi="Calibri"/>
                <w:sz w:val="22"/>
              </w:rPr>
              <w:t>82.2%</w:t>
            </w:r>
          </w:p>
        </w:tc>
        <w:tc>
          <w:tcPr>
            <w:tcW w:type="dxa" w:w="1728"/>
          </w:tcPr>
          <w:p>
            <w:r>
              <w:rPr>
                <w:rFonts w:ascii="Calibri" w:hAnsi="Calibri"/>
                <w:b/>
                <w:color w:val="30A46C"/>
                <w:sz w:val="22"/>
              </w:rPr>
              <w:t>−350 bps</w:t>
            </w:r>
          </w:p>
        </w:tc>
        <w:tc>
          <w:tcPr>
            <w:tcW w:type="dxa" w:w="1728"/>
          </w:tcPr>
          <w:p>
            <w:r>
              <w:rPr>
                <w:rFonts w:ascii="Calibri" w:hAnsi="Calibri"/>
                <w:sz w:val="22"/>
              </w:rPr>
              <w:t>Large Beat</w:t>
            </w:r>
          </w:p>
        </w:tc>
      </w:tr>
      <w:tr>
        <w:tc>
          <w:tcPr>
            <w:tcW w:type="dxa" w:w="1728"/>
          </w:tcPr>
          <w:p>
            <w:r>
              <w:rPr>
                <w:rFonts w:ascii="Calibri" w:hAnsi="Calibri"/>
                <w:sz w:val="22"/>
              </w:rPr>
              <w:t>Q2 2025</w:t>
            </w:r>
          </w:p>
        </w:tc>
        <w:tc>
          <w:tcPr>
            <w:tcW w:type="dxa" w:w="1728"/>
          </w:tcPr>
          <w:p>
            <w:r>
              <w:rPr>
                <w:rFonts w:ascii="Calibri" w:hAnsi="Calibri"/>
                <w:sz w:val="22"/>
              </w:rPr>
              <w:t>79.5%</w:t>
            </w:r>
          </w:p>
        </w:tc>
        <w:tc>
          <w:tcPr>
            <w:tcW w:type="dxa" w:w="1728"/>
          </w:tcPr>
          <w:p>
            <w:r>
              <w:rPr>
                <w:rFonts w:ascii="Calibri" w:hAnsi="Calibri"/>
                <w:sz w:val="22"/>
              </w:rPr>
              <w:t>83.7%</w:t>
            </w:r>
          </w:p>
        </w:tc>
        <w:tc>
          <w:tcPr>
            <w:tcW w:type="dxa" w:w="1728"/>
          </w:tcPr>
          <w:p>
            <w:r>
              <w:rPr>
                <w:rFonts w:ascii="Calibri" w:hAnsi="Calibri"/>
                <w:b/>
                <w:color w:val="30A46C"/>
                <w:sz w:val="22"/>
              </w:rPr>
              <w:t>−420 bps</w:t>
            </w:r>
          </w:p>
        </w:tc>
        <w:tc>
          <w:tcPr>
            <w:tcW w:type="dxa" w:w="1728"/>
          </w:tcPr>
          <w:p>
            <w:r>
              <w:rPr>
                <w:rFonts w:ascii="Calibri" w:hAnsi="Calibri"/>
                <w:sz w:val="22"/>
              </w:rPr>
              <w:t>Large Beat</w:t>
            </w:r>
          </w:p>
        </w:tc>
      </w:tr>
      <w:tr>
        <w:tc>
          <w:tcPr>
            <w:tcW w:type="dxa" w:w="1728"/>
          </w:tcPr>
          <w:p>
            <w:r>
              <w:rPr>
                <w:rFonts w:ascii="Calibri" w:hAnsi="Calibri"/>
                <w:sz w:val="22"/>
              </w:rPr>
              <w:t>Q1 2025</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Note: </w:t>
      </w:r>
      <w:r>
        <w:rPr>
          <w:rFonts w:ascii="Calibri" w:hAnsi="Calibri"/>
          <w:color w:val="525866"/>
          <w:sz w:val="22"/>
        </w:rPr>
        <w:t>Allstate has consistently beaten the underlying combined ratio consensus by 140–450 basis points over the last four reported quarters, reflecting sustained underwriting discipline and favorable loss trends. The pattern of large beats on this metric is the primary driver of the EPS outperformance trend.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(April 30, 2026), but two material post-earnings developments — the CFO change and the June catastrophe disclosure — have shifted the narrative. Management's growth-oriented tone from Q1 remains intact, but the cat load is a known headwind.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April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Auto Underlying Combined Ratio Target</w:t>
            </w:r>
          </w:p>
        </w:tc>
        <w:tc>
          <w:tcPr>
            <w:tcW w:type="dxa" w:w="1728"/>
          </w:tcPr>
          <w:p>
            <w:r>
              <w:rPr>
                <w:rFonts w:ascii="Calibri" w:hAnsi="Calibri"/>
                <w:sz w:val="22"/>
              </w:rPr>
              <w:t>Mid-90s (management willing to trade some margin for growth)</w:t>
            </w:r>
          </w:p>
        </w:tc>
        <w:tc>
          <w:tcPr>
            <w:tcW w:type="dxa" w:w="1728"/>
          </w:tcPr>
          <w:p>
            <w:r>
              <w:rPr>
                <w:rFonts w:ascii="Calibri" w:hAnsi="Calibri"/>
                <w:sz w:val="22"/>
              </w:rPr>
              <w:t>—</w:t>
            </w:r>
          </w:p>
        </w:tc>
        <w:tc>
          <w:tcPr>
            <w:tcW w:type="dxa" w:w="1728"/>
          </w:tcPr>
          <w:p>
            <w:r>
              <w:rPr>
                <w:rFonts w:ascii="Calibri" w:hAnsi="Calibri"/>
                <w:sz w:val="22"/>
              </w:rPr>
              <w:t>80.8% (well below target)</w:t>
            </w:r>
          </w:p>
        </w:tc>
        <w:tc>
          <w:tcPr>
            <w:tcW w:type="dxa" w:w="1728"/>
          </w:tcPr>
          <w:p>
            <w:r>
              <w:rPr>
                <w:rFonts w:ascii="Calibri" w:hAnsi="Calibri"/>
                <w:sz w:val="22"/>
              </w:rPr>
              <w:t>Unchanged; management signaled willingness to let ratio drift higher to drive growth</w:t>
            </w:r>
          </w:p>
        </w:tc>
      </w:tr>
      <w:tr>
        <w:tc>
          <w:tcPr>
            <w:tcW w:type="dxa" w:w="1728"/>
          </w:tcPr>
          <w:p>
            <w:r>
              <w:rPr>
                <w:rFonts w:ascii="Calibri" w:hAnsi="Calibri"/>
                <w:sz w:val="22"/>
              </w:rPr>
              <w:t>Homeowners Underlying Combined Ratio Target</w:t>
            </w:r>
          </w:p>
        </w:tc>
        <w:tc>
          <w:tcPr>
            <w:tcW w:type="dxa" w:w="1728"/>
          </w:tcPr>
          <w:p>
            <w:r>
              <w:rPr>
                <w:rFonts w:ascii="Calibri" w:hAnsi="Calibri"/>
                <w:sz w:val="22"/>
              </w:rPr>
              <w:t>Low-90s</w:t>
            </w:r>
          </w:p>
        </w:tc>
        <w:tc>
          <w:tcPr>
            <w:tcW w:type="dxa" w:w="1728"/>
          </w:tcPr>
          <w:p>
            <w:r>
              <w:rPr>
                <w:rFonts w:ascii="Calibri" w:hAnsi="Calibri"/>
                <w:sz w:val="22"/>
              </w:rPr>
              <w:t>—</w:t>
            </w:r>
          </w:p>
        </w:tc>
        <w:tc>
          <w:tcPr>
            <w:tcW w:type="dxa" w:w="1728"/>
          </w:tcPr>
          <w:p>
            <w:r>
              <w:rPr>
                <w:rFonts w:ascii="Calibri" w:hAnsi="Calibri"/>
                <w:sz w:val="22"/>
              </w:rPr>
              <w:t>Tracking well below target</w:t>
            </w:r>
          </w:p>
        </w:tc>
        <w:tc>
          <w:tcPr>
            <w:tcW w:type="dxa" w:w="1728"/>
          </w:tcPr>
          <w:p>
            <w:r>
              <w:rPr>
                <w:rFonts w:ascii="Calibri" w:hAnsi="Calibri"/>
                <w:sz w:val="22"/>
              </w:rPr>
              <w:t>Unchanged; management described homeowners as an “underappreciated growth asset”</w:t>
            </w:r>
          </w:p>
        </w:tc>
      </w:tr>
      <w:tr>
        <w:tc>
          <w:tcPr>
            <w:tcW w:type="dxa" w:w="1728"/>
          </w:tcPr>
          <w:p>
            <w:r>
              <w:rPr>
                <w:rFonts w:ascii="Calibri" w:hAnsi="Calibri"/>
                <w:sz w:val="22"/>
              </w:rPr>
              <w:t>Policy-in-Force Growth</w:t>
            </w:r>
          </w:p>
        </w:tc>
        <w:tc>
          <w:tcPr>
            <w:tcW w:type="dxa" w:w="1728"/>
          </w:tcPr>
          <w:p>
            <w:r>
              <w:rPr>
                <w:rFonts w:ascii="Calibri" w:hAnsi="Calibri"/>
                <w:sz w:val="22"/>
              </w:rPr>
              <w:t>Continued acceleration; record new business across all channels</w:t>
            </w:r>
          </w:p>
        </w:tc>
        <w:tc>
          <w:tcPr>
            <w:tcW w:type="dxa" w:w="1728"/>
          </w:tcPr>
          <w:p>
            <w:r>
              <w:rPr>
                <w:rFonts w:ascii="Calibri" w:hAnsi="Calibri"/>
                <w:sz w:val="22"/>
              </w:rPr>
              <w:t>—</w:t>
            </w:r>
          </w:p>
        </w:tc>
        <w:tc>
          <w:tcPr>
            <w:tcW w:type="dxa" w:w="1728"/>
          </w:tcPr>
          <w:p>
            <w:r>
              <w:rPr>
                <w:rFonts w:ascii="Calibri" w:hAnsi="Calibri"/>
                <w:sz w:val="22"/>
              </w:rPr>
              <w:t>Auto +2.8% YoY; HO +2.6% YoY (May 2026 data)</w:t>
            </w:r>
          </w:p>
        </w:tc>
        <w:tc>
          <w:tcPr>
            <w:tcW w:type="dxa" w:w="1728"/>
          </w:tcPr>
          <w:p>
            <w:r>
              <w:rPr>
                <w:rFonts w:ascii="Calibri" w:hAnsi="Calibri"/>
                <w:sz w:val="22"/>
              </w:rPr>
              <w:t>May 2026 monthly release (June 18, 2026) confirmed continued growth trajectory</w:t>
            </w:r>
          </w:p>
        </w:tc>
      </w:tr>
      <w:tr>
        <w:tc>
          <w:tcPr>
            <w:tcW w:type="dxa" w:w="1728"/>
          </w:tcPr>
          <w:p>
            <w:r>
              <w:rPr>
                <w:rFonts w:ascii="Calibri" w:hAnsi="Calibri"/>
                <w:sz w:val="22"/>
              </w:rPr>
              <w:t>Pricing Posture</w:t>
            </w:r>
          </w:p>
        </w:tc>
        <w:tc>
          <w:tcPr>
            <w:tcW w:type="dxa" w:w="1728"/>
          </w:tcPr>
          <w:p>
            <w:r>
              <w:rPr>
                <w:rFonts w:ascii="Calibri" w:hAnsi="Calibri"/>
                <w:sz w:val="22"/>
              </w:rPr>
              <w:t>Net neutral across the book; rate decreases in 23 states, increases in 16 states in Q1</w:t>
            </w:r>
          </w:p>
        </w:tc>
        <w:tc>
          <w:tcPr>
            <w:tcW w:type="dxa" w:w="1728"/>
          </w:tcPr>
          <w:p>
            <w:r>
              <w:rPr>
                <w:rFonts w:ascii="Calibri" w:hAnsi="Calibri"/>
                <w:sz w:val="22"/>
              </w:rPr>
              <w:t>—</w:t>
            </w:r>
          </w:p>
        </w:tc>
        <w:tc>
          <w:tcPr>
            <w:tcW w:type="dxa" w:w="1728"/>
          </w:tcPr>
          <w:p>
            <w:r>
              <w:rPr>
                <w:rFonts w:ascii="Calibri" w:hAnsi="Calibri"/>
                <w:sz w:val="22"/>
              </w:rPr>
              <w:t>N/A — no consensus metric</w:t>
            </w:r>
          </w:p>
        </w:tc>
        <w:tc>
          <w:tcPr>
            <w:tcW w:type="dxa" w:w="1728"/>
          </w:tcPr>
          <w:p>
            <w:r>
              <w:rPr>
                <w:rFonts w:ascii="Calibri" w:hAnsi="Calibri"/>
                <w:sz w:val="22"/>
              </w:rPr>
              <w:t>Unchanged; management framed as “the system working as designed”</w:t>
            </w:r>
          </w:p>
        </w:tc>
      </w:tr>
      <w:tr>
        <w:tc>
          <w:tcPr>
            <w:tcW w:type="dxa" w:w="1728"/>
          </w:tcPr>
          <w:p>
            <w:r>
              <w:rPr>
                <w:rFonts w:ascii="Calibri" w:hAnsi="Calibri"/>
                <w:sz w:val="22"/>
              </w:rPr>
              <w:t>Share Repurchase</w:t>
            </w:r>
          </w:p>
        </w:tc>
        <w:tc>
          <w:tcPr>
            <w:tcW w:type="dxa" w:w="1728"/>
          </w:tcPr>
          <w:p>
            <w:r>
              <w:rPr>
                <w:rFonts w:ascii="Calibri" w:hAnsi="Calibri"/>
                <w:sz w:val="22"/>
              </w:rPr>
              <w:t>$4B authorization; $3.6B remaining as of March 31,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active execution ongoing</w:t>
            </w:r>
          </w:p>
        </w:tc>
      </w:tr>
      <w:tr>
        <w:tc>
          <w:tcPr>
            <w:tcW w:type="dxa" w:w="1728"/>
          </w:tcPr>
          <w:p>
            <w:r>
              <w:rPr>
                <w:rFonts w:ascii="Calibri" w:hAnsi="Calibri"/>
                <w:sz w:val="22"/>
              </w:rPr>
              <w:t>Q2 2026 Catastrophe Losses</w:t>
            </w:r>
          </w:p>
        </w:tc>
        <w:tc>
          <w:tcPr>
            <w:tcW w:type="dxa" w:w="1728"/>
          </w:tcPr>
          <w:p>
            <w:r>
              <w:rPr>
                <w:rFonts w:ascii="Calibri" w:hAnsi="Calibri"/>
                <w:sz w:val="22"/>
              </w:rPr>
              <w:t>Not guided</w:t>
            </w:r>
          </w:p>
        </w:tc>
        <w:tc>
          <w:tcPr>
            <w:tcW w:type="dxa" w:w="1728"/>
          </w:tcPr>
          <w:p>
            <w:r>
              <w:rPr>
                <w:rFonts w:ascii="Calibri" w:hAnsi="Calibri"/>
                <w:sz w:val="22"/>
              </w:rPr>
              <w:t>$1.72B pre-tax ($1.36B after-tax) — disclosed via 8-K, July 16, 2026</w:t>
            </w:r>
          </w:p>
        </w:tc>
        <w:tc>
          <w:tcPr>
            <w:tcW w:type="dxa" w:w="1728"/>
          </w:tcPr>
          <w:p>
            <w:r>
              <w:rPr>
                <w:rFonts w:ascii="Calibri" w:hAnsi="Calibri"/>
                <w:sz w:val="22"/>
              </w:rPr>
              <w:t>N/A — disclosed figure</w:t>
            </w:r>
          </w:p>
        </w:tc>
        <w:tc>
          <w:tcPr>
            <w:tcW w:type="dxa" w:w="1728"/>
          </w:tcPr>
          <w:p>
            <w:r>
              <w:rPr>
                <w:rFonts w:ascii="Calibri" w:hAnsi="Calibri"/>
                <w:sz w:val="22"/>
              </w:rPr>
              <w:t>↑ Material post-earnings disclosure; June cat losses of $563M pre-tax ($445M after-tax) disclosed July 16, 2026</w:t>
            </w:r>
          </w:p>
        </w:tc>
      </w:tr>
      <w:tr>
        <w:tc>
          <w:tcPr>
            <w:tcW w:type="dxa" w:w="1728"/>
          </w:tcPr>
          <w:p>
            <w:r>
              <w:rPr>
                <w:rFonts w:ascii="Calibri" w:hAnsi="Calibri"/>
                <w:sz w:val="22"/>
              </w:rPr>
              <w:t>CFO</w:t>
            </w:r>
          </w:p>
        </w:tc>
        <w:tc>
          <w:tcPr>
            <w:tcW w:type="dxa" w:w="1728"/>
          </w:tcPr>
          <w:p>
            <w:r>
              <w:rPr>
                <w:rFonts w:ascii="Calibri" w:hAnsi="Calibri"/>
                <w:sz w:val="22"/>
              </w:rPr>
              <w:t>John Dugenske (Interim CFO)</w:t>
            </w:r>
          </w:p>
        </w:tc>
        <w:tc>
          <w:tcPr>
            <w:tcW w:type="dxa" w:w="1728"/>
          </w:tcPr>
          <w:p>
            <w:r>
              <w:rPr>
                <w:rFonts w:ascii="Calibri" w:hAnsi="Calibri"/>
                <w:sz w:val="22"/>
              </w:rPr>
              <w:t>Christian M. Lown appointed as new CFO</w:t>
            </w:r>
          </w:p>
        </w:tc>
        <w:tc>
          <w:tcPr>
            <w:tcW w:type="dxa" w:w="1728"/>
          </w:tcPr>
          <w:p>
            <w:r>
              <w:rPr>
                <w:rFonts w:ascii="Calibri" w:hAnsi="Calibri"/>
                <w:sz w:val="22"/>
              </w:rPr>
              <w:t>N/A</w:t>
            </w:r>
          </w:p>
        </w:tc>
        <w:tc>
          <w:tcPr>
            <w:tcW w:type="dxa" w:w="1728"/>
          </w:tcPr>
          <w:p>
            <w:r>
              <w:rPr>
                <w:rFonts w:ascii="Calibri" w:hAnsi="Calibri"/>
                <w:sz w:val="22"/>
              </w:rPr>
              <w:t>Disclosed July 14, 2026; effective August 3, 2026. Lown joins from CoStar Group (CFO 2024–2026) and Freddie Mac (CFO 2020–2024)</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Q2 2026 EPS estimates have risen sharply since the Q1 print (+27% from the post-earnings baseline), reflecting growing confidence in the underlying business. FY2026 estimates have also moved higher. The revision trajectory is constructive, but the known cat load creates a wide range of outcomes for the reported quarter.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$4.74</w:t>
            </w:r>
          </w:p>
        </w:tc>
        <w:tc>
          <w:tcPr>
            <w:tcW w:type="dxa" w:w="1080"/>
          </w:tcPr>
          <w:p>
            <w:r>
              <w:rPr>
                <w:rFonts w:ascii="Calibri" w:hAnsi="Calibri"/>
                <w:sz w:val="22"/>
              </w:rPr>
              <w:t>$6.03</w:t>
            </w:r>
          </w:p>
        </w:tc>
        <w:tc>
          <w:tcPr>
            <w:tcW w:type="dxa" w:w="1080"/>
          </w:tcPr>
          <w:p>
            <w:r>
              <w:rPr>
                <w:rFonts w:ascii="Calibri" w:hAnsi="Calibri"/>
                <w:b/>
                <w:color w:val="30A46C"/>
                <w:sz w:val="22"/>
              </w:rPr>
              <w:t>+27.2%</w:t>
            </w:r>
          </w:p>
        </w:tc>
        <w:tc>
          <w:tcPr>
            <w:tcW w:type="dxa" w:w="1080"/>
          </w:tcPr>
          <w:p>
            <w:r>
              <w:rPr>
                <w:rFonts w:ascii="Calibri" w:hAnsi="Calibri"/>
                <w:sz w:val="22"/>
              </w:rPr>
              <w:t>No specific quarterly guidance</w:t>
            </w:r>
          </w:p>
        </w:tc>
        <w:tc>
          <w:tcPr>
            <w:tcW w:type="dxa" w:w="1080"/>
          </w:tcPr>
          <w:p>
            <w:r>
              <w:rPr>
                <w:rFonts w:ascii="Calibri" w:hAnsi="Calibri"/>
                <w:sz w:val="22"/>
              </w:rPr>
              <w:t>No specific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$30.01</w:t>
            </w:r>
          </w:p>
        </w:tc>
        <w:tc>
          <w:tcPr>
            <w:tcW w:type="dxa" w:w="1080"/>
          </w:tcPr>
          <w:p>
            <w:r>
              <w:rPr>
                <w:rFonts w:ascii="Calibri" w:hAnsi="Calibri"/>
                <w:sz w:val="22"/>
              </w:rPr>
              <w:t>$31.46</w:t>
            </w:r>
          </w:p>
        </w:tc>
        <w:tc>
          <w:tcPr>
            <w:tcW w:type="dxa" w:w="1080"/>
          </w:tcPr>
          <w:p>
            <w:r>
              <w:rPr>
                <w:rFonts w:ascii="Calibri" w:hAnsi="Calibri"/>
                <w:b/>
                <w:color w:val="30A46C"/>
                <w:sz w:val="22"/>
              </w:rPr>
              <w:t>+4.8%</w:t>
            </w:r>
          </w:p>
        </w:tc>
        <w:tc>
          <w:tcPr>
            <w:tcW w:type="dxa" w:w="1080"/>
          </w:tcPr>
          <w:p>
            <w:r>
              <w:rPr>
                <w:rFonts w:ascii="Calibri" w:hAnsi="Calibri"/>
                <w:sz w:val="22"/>
              </w:rPr>
              <w:t>No specific FY guidance</w:t>
            </w:r>
          </w:p>
        </w:tc>
        <w:tc>
          <w:tcPr>
            <w:tcW w:type="dxa" w:w="1080"/>
          </w:tcPr>
          <w:p>
            <w:r>
              <w:rPr>
                <w:rFonts w:ascii="Calibri" w:hAnsi="Calibri"/>
                <w:sz w:val="22"/>
              </w:rPr>
              <w:t>No specific FY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Combined Ratio (ex-Cat, ex-Reserve) — Q2 2026</w:t>
            </w:r>
          </w:p>
        </w:tc>
        <w:tc>
          <w:tcPr>
            <w:tcW w:type="dxa" w:w="1080"/>
          </w:tcPr>
          <w:p>
            <w:r>
              <w:rPr>
                <w:rFonts w:ascii="Calibri" w:hAnsi="Calibri"/>
                <w:sz w:val="22"/>
              </w:rPr>
              <w:t>80.9%</w:t>
            </w:r>
          </w:p>
        </w:tc>
        <w:tc>
          <w:tcPr>
            <w:tcW w:type="dxa" w:w="1080"/>
          </w:tcPr>
          <w:p>
            <w:r>
              <w:rPr>
                <w:rFonts w:ascii="Calibri" w:hAnsi="Calibri"/>
                <w:sz w:val="22"/>
              </w:rPr>
              <w:t>80.8%</w:t>
            </w:r>
          </w:p>
        </w:tc>
        <w:tc>
          <w:tcPr>
            <w:tcW w:type="dxa" w:w="1080"/>
          </w:tcPr>
          <w:p>
            <w:r>
              <w:rPr>
                <w:rFonts w:ascii="Calibri" w:hAnsi="Calibri"/>
                <w:sz w:val="22"/>
              </w:rPr>
              <w:t>−0.1%</w:t>
            </w:r>
          </w:p>
        </w:tc>
        <w:tc>
          <w:tcPr>
            <w:tcW w:type="dxa" w:w="1080"/>
          </w:tcPr>
          <w:p>
            <w:r>
              <w:rPr>
                <w:rFonts w:ascii="Calibri" w:hAnsi="Calibri"/>
                <w:sz w:val="22"/>
              </w:rPr>
              <w:t>Mid-90s target (auto); low-90s (HO)</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Well below target (favorable)</w:t>
            </w:r>
          </w:p>
        </w:tc>
      </w:tr>
      <w:tr>
        <w:tc>
          <w:tcPr>
            <w:tcW w:type="dxa" w:w="1080"/>
          </w:tcPr>
          <w:p>
            <w:r>
              <w:rPr>
                <w:rFonts w:ascii="Calibri" w:hAnsi="Calibri"/>
                <w:sz w:val="22"/>
              </w:rPr>
              <w:t>Adj. Combined Ratio (ex-Cat, ex-Reserve) — FY2026</w:t>
            </w:r>
          </w:p>
        </w:tc>
        <w:tc>
          <w:tcPr>
            <w:tcW w:type="dxa" w:w="1080"/>
          </w:tcPr>
          <w:p>
            <w:r>
              <w:rPr>
                <w:rFonts w:ascii="Calibri" w:hAnsi="Calibri"/>
                <w:sz w:val="22"/>
              </w:rPr>
              <w:t>81.0%</w:t>
            </w:r>
          </w:p>
        </w:tc>
        <w:tc>
          <w:tcPr>
            <w:tcW w:type="dxa" w:w="1080"/>
          </w:tcPr>
          <w:p>
            <w:r>
              <w:rPr>
                <w:rFonts w:ascii="Calibri" w:hAnsi="Calibri"/>
                <w:sz w:val="22"/>
              </w:rPr>
              <w:t>81.0%</w:t>
            </w:r>
          </w:p>
        </w:tc>
        <w:tc>
          <w:tcPr>
            <w:tcW w:type="dxa" w:w="1080"/>
          </w:tcPr>
          <w:p>
            <w:r>
              <w:rPr>
                <w:rFonts w:ascii="Calibri" w:hAnsi="Calibri"/>
                <w:sz w:val="22"/>
              </w:rPr>
              <w:t>Flat</w:t>
            </w:r>
          </w:p>
        </w:tc>
        <w:tc>
          <w:tcPr>
            <w:tcW w:type="dxa" w:w="1080"/>
          </w:tcPr>
          <w:p>
            <w:r>
              <w:rPr>
                <w:rFonts w:ascii="Calibri" w:hAnsi="Calibri"/>
                <w:sz w:val="22"/>
              </w:rPr>
              <w:t>Mid-90s target (auto); low-90s (HO)</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Well below target (favorable)</w:t>
            </w:r>
          </w:p>
        </w:tc>
      </w:tr>
      <w:tr>
        <w:tc>
          <w:tcPr>
            <w:tcW w:type="dxa" w:w="1080"/>
          </w:tcPr>
          <w:p>
            <w:r>
              <w:rPr>
                <w:rFonts w:ascii="Calibri" w:hAnsi="Calibri"/>
                <w:sz w:val="22"/>
              </w:rPr>
              <w:t>Auto PIF (K) — Q2 2026</w:t>
            </w:r>
          </w:p>
        </w:tc>
        <w:tc>
          <w:tcPr>
            <w:tcW w:type="dxa" w:w="1080"/>
          </w:tcPr>
          <w:p>
            <w:r>
              <w:rPr>
                <w:rFonts w:ascii="Calibri" w:hAnsi="Calibri"/>
                <w:sz w:val="22"/>
              </w:rPr>
              <w:t>25,934K</w:t>
            </w:r>
          </w:p>
        </w:tc>
        <w:tc>
          <w:tcPr>
            <w:tcW w:type="dxa" w:w="1080"/>
          </w:tcPr>
          <w:p>
            <w:r>
              <w:rPr>
                <w:rFonts w:ascii="Calibri" w:hAnsi="Calibri"/>
                <w:sz w:val="22"/>
              </w:rPr>
              <w:t>25,949K</w:t>
            </w:r>
          </w:p>
        </w:tc>
        <w:tc>
          <w:tcPr>
            <w:tcW w:type="dxa" w:w="1080"/>
          </w:tcPr>
          <w:p>
            <w:r>
              <w:rPr>
                <w:rFonts w:ascii="Calibri" w:hAnsi="Calibri"/>
                <w:sz w:val="22"/>
              </w:rPr>
              <w:t>+0.1%</w:t>
            </w:r>
          </w:p>
        </w:tc>
        <w:tc>
          <w:tcPr>
            <w:tcW w:type="dxa" w:w="1080"/>
          </w:tcPr>
          <w:p>
            <w:r>
              <w:rPr>
                <w:rFonts w:ascii="Calibri" w:hAnsi="Calibri"/>
                <w:sz w:val="22"/>
              </w:rPr>
              <w:t>Continued growth / acceleration</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Tracking with guidance</w:t>
            </w:r>
          </w:p>
        </w:tc>
      </w:tr>
      <w:tr>
        <w:tc>
          <w:tcPr>
            <w:tcW w:type="dxa" w:w="1080"/>
          </w:tcPr>
          <w:p>
            <w:r>
              <w:rPr>
                <w:rFonts w:ascii="Calibri" w:hAnsi="Calibri"/>
                <w:sz w:val="22"/>
              </w:rPr>
              <w:t>Net Investment Income — Q2 2026</w:t>
            </w:r>
          </w:p>
        </w:tc>
        <w:tc>
          <w:tcPr>
            <w:tcW w:type="dxa" w:w="1080"/>
          </w:tcPr>
          <w:p>
            <w:r>
              <w:rPr>
                <w:rFonts w:ascii="Calibri" w:hAnsi="Calibri"/>
                <w:sz w:val="22"/>
              </w:rPr>
              <w:t>$786M</w:t>
            </w:r>
          </w:p>
        </w:tc>
        <w:tc>
          <w:tcPr>
            <w:tcW w:type="dxa" w:w="1080"/>
          </w:tcPr>
          <w:p>
            <w:r>
              <w:rPr>
                <w:rFonts w:ascii="Calibri" w:hAnsi="Calibri"/>
                <w:sz w:val="22"/>
              </w:rPr>
              <w:t>$768M</w:t>
            </w:r>
          </w:p>
        </w:tc>
        <w:tc>
          <w:tcPr>
            <w:tcW w:type="dxa" w:w="1080"/>
          </w:tcPr>
          <w:p>
            <w:r>
              <w:rPr>
                <w:rFonts w:ascii="Calibri" w:hAnsi="Calibri"/>
                <w:b/>
                <w:color w:val="E5484D"/>
                <w:sz w:val="22"/>
              </w:rPr>
              <w:t>−2.3%</w:t>
            </w:r>
          </w:p>
        </w:tc>
        <w:tc>
          <w:tcPr>
            <w:tcW w:type="dxa" w:w="1080"/>
          </w:tcPr>
          <w:p>
            <w:r>
              <w:rPr>
                <w:rFonts w:ascii="Calibri" w:hAnsi="Calibri"/>
                <w:sz w:val="22"/>
              </w:rPr>
              <w:t>No specific guidance; portfolio repositioning ongoing</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Consensus and Actuals Data. Post-Q1 baseline as of approximately May 6, 2026 (5 trading days after April 29, 2026 earnings release).</w:t>
      </w:r>
    </w:p>
    <w:p>
      <w:r>
        <w:rPr>
          <w:rFonts w:ascii="Calibri" w:hAnsi="Calibri"/>
          <w:color w:val="525866"/>
          <w:sz w:val="22"/>
        </w:rPr>
        <w:t>The sharp upward revision in Q2 2026 EPS estimates (+27%) since the Q1 print reflects growing sell-side confidence in Allstate's underlying profitability, even as the known $1.72B cat load creates a wide range of outcomes for the reported quarter. The underlying combined ratio estimate has been remarkably stable (80.8–80.9%), suggesting analysts are not expecting meaningful deterioration in core underwriting performance. FY2026 EPS estimates have also moved higher (+4.8%), consistent with the view that the strong underlying business more than offsets the elevated cat quarter.</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ALL has significantly outperformed both the insurance sector ETF (KIE) and the S&amp;P 500 since the Q1 2026 earnings print, with the rally driven by a combination of multiple expansion and upward EPS revisions. The stock has priced in a meaningful degree of continued outperformance.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ALL vs. KIE (Insurance Sector ETF) vs. S&amp;P 500 — Indexed to 100 at Q1 2026 Earnings (April 29, 2026). ALL: +23.7%, KIE: +13.0%, SPY: +6.5% through August 5, 2026. Source: Yahoo Finance.</w:t>
      </w:r>
    </w:p>
    <w:p>
      <w:r>
        <w:rPr>
          <w:rFonts w:ascii="Calibri" w:hAnsi="Calibri"/>
          <w:color w:val="525866"/>
          <w:sz w:val="22"/>
        </w:rPr>
        <w:t>Since the Q1 2026 earnings print on April 29, 2026, ALL has returned approximately +23.7%, dramatically outperforming the KIE insurance sector ETF (+13.0%) and the S&amp;P 500 (+6.5%). The stock's outperformance has been driven by a combination of factors: (1) upward EPS revisions (+27% for Q2 2026, +4.8% for FY2026) reflecting confidence in the underlying business; (2) multiple expansion, with the NTM P/E moving from approximately 7.6x (3 months ago) to 9.2x currently; and (3) sector-wide tailwinds as personal lines insurers broadly re-rated higher on improving underwriting conditions. The stock's strong run into earnings suggests the market has already priced in a degree of continued outperformance, raising the bar for a positive reaction on August 6.</w:t>
      </w:r>
    </w:p>
    <w:p>
      <w:r>
        <w:rPr>
          <w:rFonts w:ascii="Calibri" w:hAnsi="Calibri"/>
          <w:color w:val="525866"/>
          <w:sz w:val="22"/>
        </w:rPr>
        <w:t>Key events since Q1 earnings: The stock pulled back modestly on July 14–15 following the CFO change announcement (Christian Lown replacing interim CFO John Dugenske, effective August 3), then recovered and accelerated higher through late July as the broader insurance sector rallied. The June catastrophe disclosure on July 16 ($563M pre-tax for June, $1.72B for the full Q2) was largely absorbed without a significant negative reaction, suggesting the market had already anticipated elevated cat losses.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disclosure of $1.72B in Q2 catastrophe losses — a known headwind that will weigh on reported results but has been largely absorbed by the market. The CFO transition is a secondary watch item.</w:t>
      </w:r>
    </w:p>
    <w:p>
      <w:pPr>
        <w:pStyle w:val="ListBullet"/>
        <w:ind w:left="360" w:hanging="360"/>
      </w:pPr>
      <w:r>
        <w:rPr>
          <w:rFonts w:ascii="Calibri" w:hAnsi="Calibri"/>
          <w:b/>
          <w:color w:val="525866"/>
          <w:sz w:val="22"/>
        </w:rPr>
        <w:t>July 16, 2026 — Q2 2026 Catastrophe Loss Disclosure (8-K):</w:t>
      </w:r>
      <w:r>
        <w:rPr>
          <w:rFonts w:ascii="Calibri" w:hAnsi="Calibri"/>
          <w:color w:val="525866"/>
          <w:sz w:val="22"/>
        </w:rPr>
        <w:t xml:space="preserve"> Allstate disclosed total Q2 2026 catastrophe losses of $1.72 billion pre-tax ($1.36B after-tax), including $563M pre-tax ($445M after-tax) for June alone. This compares to Q1 2026's benign cat experience and represents a significant headwind to reported combined ratios. The disclosure was largely anticipated by the market given the active spring storm season, and the stock absorbed the news without a major selloff. </w:t>
      </w:r>
    </w:p>
    <w:p>
      <w:pPr>
        <w:pStyle w:val="ListBullet"/>
        <w:ind w:left="360" w:hanging="360"/>
      </w:pPr>
      <w:r>
        <w:rPr>
          <w:rFonts w:ascii="Calibri" w:hAnsi="Calibri"/>
          <w:b/>
          <w:color w:val="525866"/>
          <w:sz w:val="22"/>
        </w:rPr>
        <w:t>July 14, 2026 — New CFO Appointment (8-K):</w:t>
      </w:r>
      <w:r>
        <w:rPr>
          <w:rFonts w:ascii="Calibri" w:hAnsi="Calibri"/>
          <w:color w:val="525866"/>
          <w:sz w:val="22"/>
        </w:rPr>
        <w:t xml:space="preserve"> Allstate announced Christian M. Lown as Executive Vice President and CFO, effective August 3, 2026 (disclosed July 14, 2026). Lown, age 56, joins from CoStar Group (CFO, July 2024–July 2026) and previously served as EVP &amp; CFO of Freddie Mac (June 2020–June 2024). Compensation includes $875K base salary, 200% target cash incentive, 375% equity incentive, $2M cash sign-on bonus, and $4.1M RSU sign-on grant. </w:t>
      </w:r>
    </w:p>
    <w:p>
      <w:pPr>
        <w:pStyle w:val="ListBullet"/>
        <w:ind w:left="360" w:hanging="360"/>
      </w:pPr>
      <w:r>
        <w:rPr>
          <w:rFonts w:ascii="Calibri" w:hAnsi="Calibri"/>
          <w:b/>
          <w:color w:val="525866"/>
          <w:sz w:val="22"/>
        </w:rPr>
        <w:t>June 18, 2026 — May 2026 Catastrophe Loss &amp; PIF Disclosure (8-K):</w:t>
      </w:r>
      <w:r>
        <w:rPr>
          <w:rFonts w:ascii="Calibri" w:hAnsi="Calibri"/>
          <w:color w:val="525866"/>
          <w:sz w:val="22"/>
        </w:rPr>
        <w:t xml:space="preserve"> Allstate disclosed May 2026 catastrophe losses of $289M pre-tax ($228M after-tax), with April+May combined at $1.16B pre-tax ($915M after-tax). Policies in force as of May 31, 2026: Auto 25,901K (+2.7% YoY), Homeowners 7,788K (+2.6% YoY), Total 38,799K (+2.4% YoY). </w:t>
      </w:r>
    </w:p>
    <w:p>
      <w:pPr>
        <w:pStyle w:val="ListBullet"/>
        <w:ind w:left="360" w:hanging="360"/>
      </w:pPr>
      <w:r>
        <w:rPr>
          <w:rFonts w:ascii="Calibri" w:hAnsi="Calibri"/>
          <w:b/>
          <w:color w:val="525866"/>
          <w:sz w:val="22"/>
        </w:rPr>
        <w:t>April 30, 2026 — Q1 2026 Earnings Call:</w:t>
      </w:r>
      <w:r>
        <w:rPr>
          <w:rFonts w:ascii="Calibri" w:hAnsi="Calibri"/>
          <w:color w:val="525866"/>
          <w:sz w:val="22"/>
        </w:rPr>
        <w:t xml:space="preserve"> Management delivered a strongly growth-oriented message, explicitly willing to trade some margin for faster policy growth and higher valuation multiples. Key themes: (1) net-neutral pricing posture across the book; (2) record new business across all distribution channels; (3) $4B share repurchase program launched; (4) AI deployment (ALLIE ecosystem) accelerating; (5) optimism about New York regulatory reform. </w:t>
      </w:r>
    </w:p>
    <w:p>
      <w:pPr>
        <w:pStyle w:val="ListBullet"/>
        <w:ind w:left="360" w:hanging="360"/>
      </w:pPr>
      <w:r>
        <w:rPr>
          <w:rFonts w:ascii="Calibri" w:hAnsi="Calibri"/>
          <w:b/>
          <w:color w:val="525866"/>
          <w:sz w:val="22"/>
        </w:rPr>
        <w:t>July 6, 2026 — Q2 2026 Earnings Call Scheduled:</w:t>
      </w:r>
      <w:r>
        <w:rPr>
          <w:rFonts w:ascii="Calibri" w:hAnsi="Calibri"/>
          <w:color w:val="525866"/>
          <w:sz w:val="22"/>
        </w:rPr>
        <w:t xml:space="preserve"> Allstate announced the Q2 2026 earnings call for August 6, 2026 at 9:00 AM ET.</w:t>
      </w:r>
    </w:p>
    <w:p>
      <w:r>
        <w:br w:type="page"/>
      </w:r>
    </w:p>
    <w:p>
      <w:pPr>
        <w:pStyle w:val="Heading1"/>
        <w:pBdr>
          <w:bottom w:val="single" w:sz="4" w:space="1" w:color="FB9120"/>
        </w:pBdr>
      </w:pPr>
      <w:r>
        <w:rPr>
          <w:rFonts w:ascii="Calibri" w:hAnsi="Calibri"/>
          <w:b/>
          <w:color w:val="3B4259"/>
          <w:sz w:val="40"/>
        </w:rPr>
        <w:t>7. Peer Commentary &amp; Q2 2026 Read-Throughs</w:t>
      </w:r>
    </w:p>
    <w:p>
      <w:r>
        <w:rPr>
          <w:rFonts w:ascii="Calibri" w:hAnsi="Calibri"/>
          <w:b/>
          <w:color w:val="525866"/>
          <w:sz w:val="22"/>
        </w:rPr>
        <w:t xml:space="preserve">Key Takeaway: </w:t>
      </w:r>
      <w:r>
        <w:rPr>
          <w:rFonts w:ascii="Calibri" w:hAnsi="Calibri"/>
          <w:color w:val="525866"/>
          <w:sz w:val="22"/>
        </w:rPr>
        <w:t>Peer Q2 2026 earnings releases and calls from Travelers (TRV), Chubb (CB), Hartford (HIG), Progressive (PGR), and Cincinnati Financial (CINF) paint a broadly favorable picture for personal lines underwriting, with improving underlying loss trends and favorable reserve development — but also signal intensifying auto pricing competition and elevated catastrophe losses. These read-throughs are net positive for Allstate's underlying combined ratio but create uncertainty around the competitive pricing environment.</w:t>
      </w:r>
    </w:p>
    <w:p>
      <w:r>
        <w:rPr>
          <w:rFonts w:ascii="Calibri" w:hAnsi="Calibri"/>
          <w:b/>
          <w:color w:val="525866"/>
          <w:sz w:val="22"/>
        </w:rPr>
        <w:t xml:space="preserve">Note: </w:t>
      </w:r>
      <w:r>
        <w:rPr>
          <w:rFonts w:ascii="Calibri" w:hAnsi="Calibri"/>
          <w:color w:val="525866"/>
          <w:sz w:val="22"/>
        </w:rPr>
        <w:t>All peer commentary below is sourced from Q2 2026 earnings releases and calls (reporting on the quarter ended June 30, 2026), published within the last 60 days. No prior-quarter commentary is included.</w:t>
      </w:r>
    </w:p>
    <w:p>
      <w:pPr>
        <w:pStyle w:val="Heading2"/>
      </w:pPr>
      <w:r>
        <w:rPr>
          <w:rFonts w:ascii="Calibri" w:hAnsi="Calibri"/>
          <w:b/>
          <w:color w:val="3B4259"/>
          <w:sz w:val="28"/>
        </w:rPr>
        <w:t>Travelers (TRV) — Q2 2026 Earnings Call (July 17, 2026)</w:t>
      </w:r>
    </w:p>
    <w:p>
      <w:r>
        <w:rPr>
          <w:rFonts w:ascii="Calibri" w:hAnsi="Calibri"/>
          <w:b/>
          <w:color w:val="525866"/>
          <w:sz w:val="22"/>
        </w:rPr>
        <w:t xml:space="preserve">Read-Through Signal: </w:t>
      </w:r>
      <w:r>
        <w:rPr>
          <w:rFonts w:ascii="Calibri" w:hAnsi="Calibri"/>
          <w:color w:val="525866"/>
          <w:sz w:val="22"/>
        </w:rPr>
        <w:t>Positive for Allstate's underlying auto and homeowners profitability; cautionary on pricing competition.</w:t>
      </w:r>
    </w:p>
    <w:p>
      <w:pPr>
        <w:pStyle w:val="ListBullet"/>
        <w:ind w:left="360" w:hanging="360"/>
      </w:pPr>
      <w:r>
        <w:rPr>
          <w:rFonts w:ascii="Calibri" w:hAnsi="Calibri"/>
          <w:b/>
          <w:color w:val="525866"/>
          <w:sz w:val="22"/>
        </w:rPr>
        <w:t>Personal Lines Pricing Moderation:</w:t>
      </w:r>
      <w:r>
        <w:rPr>
          <w:rFonts w:ascii="Calibri" w:hAnsi="Calibri"/>
          <w:color w:val="525866"/>
          <w:sz w:val="22"/>
        </w:rPr>
        <w:t xml:space="preserve"> Travelers reported flat renewal premium change in personal auto and 6.6% in homeowners, both moderating intentionally as profitability exceeds mid-teens ROE targets. Management explicitly stated that “rate continues to be decreasing in personal auto” and that lowering prices to grow is a “fool’s errand.” </w:t>
      </w:r>
    </w:p>
    <w:p>
      <w:pPr>
        <w:pStyle w:val="ListBullet"/>
        <w:ind w:left="360" w:hanging="360"/>
      </w:pPr>
      <w:r>
        <w:rPr>
          <w:rFonts w:ascii="Calibri" w:hAnsi="Calibri"/>
          <w:b/>
          <w:color w:val="525866"/>
          <w:sz w:val="22"/>
        </w:rPr>
        <w:t>Favorable Auto Loss Trends:</w:t>
      </w:r>
      <w:r>
        <w:rPr>
          <w:rFonts w:ascii="Calibri" w:hAnsi="Calibri"/>
          <w:color w:val="525866"/>
          <w:sz w:val="22"/>
        </w:rPr>
        <w:t xml:space="preserve"> The personal auto underlying combined ratio improved over 3 points YoY, driven by “a combination of favorable frequency and severity.” Management attributed frequency improvements to “improving vehicle technology and advanced safety features in vehicles, less distraction.” No material changes in driving behavior related to gas prices were observed. </w:t>
      </w:r>
    </w:p>
    <w:p>
      <w:pPr>
        <w:pStyle w:val="ListBullet"/>
        <w:ind w:left="360" w:hanging="360"/>
      </w:pPr>
      <w:r>
        <w:rPr>
          <w:rFonts w:ascii="Calibri" w:hAnsi="Calibri"/>
          <w:b/>
          <w:color w:val="525866"/>
          <w:sz w:val="22"/>
        </w:rPr>
        <w:t>Strong Personal Lines Profitability:</w:t>
      </w:r>
      <w:r>
        <w:rPr>
          <w:rFonts w:ascii="Calibri" w:hAnsi="Calibri"/>
          <w:color w:val="525866"/>
          <w:sz w:val="22"/>
        </w:rPr>
        <w:t xml:space="preserve"> Personal Insurance combined ratio of 79.5% (underlying 77.3%), with auto at 82.8% (underlying 85.8%) and homeowners at 76.7% (underlying 70.1%). Net favorable prior year reserve development of $184M in Personal Insurance, with a 4.5-point benefit to the auto combined ratio. </w:t>
      </w:r>
    </w:p>
    <w:p>
      <w:pPr>
        <w:pStyle w:val="ListBullet"/>
        <w:ind w:left="360" w:hanging="360"/>
      </w:pPr>
      <w:r>
        <w:rPr>
          <w:rFonts w:ascii="Calibri" w:hAnsi="Calibri"/>
          <w:b/>
          <w:color w:val="525866"/>
          <w:sz w:val="22"/>
        </w:rPr>
        <w:t>Catastrophe Reinsurance Optimization:</w:t>
      </w:r>
      <w:r>
        <w:rPr>
          <w:rFonts w:ascii="Calibri" w:hAnsi="Calibri"/>
          <w:color w:val="525866"/>
          <w:sz w:val="22"/>
        </w:rPr>
        <w:t xml:space="preserve"> Travelers chose not to renew its personal lines Cat Zol treaty, instead relying on a more efficient enterprise-wide general corporate Cat treaty with attachment point decreased from $4B to $3B. Total Q2 after-tax cat losses were “a little more than $400M.” </w:t>
      </w:r>
    </w:p>
    <w:p>
      <w:pPr>
        <w:pStyle w:val="ListBullet"/>
        <w:ind w:left="360" w:hanging="360"/>
      </w:pPr>
      <w:r>
        <w:rPr>
          <w:rFonts w:ascii="Calibri" w:hAnsi="Calibri"/>
          <w:b/>
          <w:color w:val="525866"/>
          <w:sz w:val="22"/>
        </w:rPr>
        <w:t>Allstate Implication:</w:t>
      </w:r>
      <w:r>
        <w:rPr>
          <w:rFonts w:ascii="Calibri" w:hAnsi="Calibri"/>
          <w:color w:val="525866"/>
          <w:sz w:val="22"/>
        </w:rPr>
        <w:t xml:space="preserve"> Favorable underlying loss trends and reserve development at TRV are a positive read-through for Allstate’s underlying combined ratio. However, TRV’s pricing moderation signals a more competitive auto market, consistent with Allstate’s own net-neutral pricing posture.</w:t>
      </w:r>
    </w:p>
    <w:p>
      <w:pPr>
        <w:pStyle w:val="Heading2"/>
      </w:pPr>
      <w:r>
        <w:rPr>
          <w:rFonts w:ascii="Calibri" w:hAnsi="Calibri"/>
          <w:b/>
          <w:color w:val="3B4259"/>
          <w:sz w:val="28"/>
        </w:rPr>
        <w:t>Chubb (CB) — Q2 2026 Earnings Release (July 21, 2026)</w:t>
      </w:r>
    </w:p>
    <w:p>
      <w:r>
        <w:rPr>
          <w:rFonts w:ascii="Calibri" w:hAnsi="Calibri"/>
          <w:b/>
          <w:color w:val="525866"/>
          <w:sz w:val="22"/>
        </w:rPr>
        <w:t xml:space="preserve">Read-Through Signal: </w:t>
      </w:r>
      <w:r>
        <w:rPr>
          <w:rFonts w:ascii="Calibri" w:hAnsi="Calibri"/>
          <w:color w:val="525866"/>
          <w:sz w:val="22"/>
        </w:rPr>
        <w:t>Positive for personal lines underwriting margins and reserve development.</w:t>
      </w:r>
    </w:p>
    <w:p>
      <w:pPr>
        <w:pStyle w:val="ListBullet"/>
        <w:ind w:left="360" w:hanging="360"/>
      </w:pPr>
      <w:r>
        <w:rPr>
          <w:rFonts w:ascii="Calibri" w:hAnsi="Calibri"/>
          <w:b/>
          <w:color w:val="525866"/>
          <w:sz w:val="22"/>
        </w:rPr>
        <w:t>Strong Personal Lines Underwriting:</w:t>
      </w:r>
      <w:r>
        <w:rPr>
          <w:rFonts w:ascii="Calibri" w:hAnsi="Calibri"/>
          <w:color w:val="525866"/>
          <w:sz w:val="22"/>
        </w:rPr>
        <w:t xml:space="preserve"> North America Personal P&amp;C Insurance combined ratio improved 6.2 points to 67.3%, with the current accident year combined ratio (ex-cat) improving 2.3 points to 69.9%. Net premiums written grew 6.0% YoY. </w:t>
      </w:r>
    </w:p>
    <w:p>
      <w:pPr>
        <w:pStyle w:val="ListBullet"/>
        <w:ind w:left="360" w:hanging="360"/>
      </w:pPr>
      <w:r>
        <w:rPr>
          <w:rFonts w:ascii="Calibri" w:hAnsi="Calibri"/>
          <w:b/>
          <w:color w:val="525866"/>
          <w:sz w:val="22"/>
        </w:rPr>
        <w:t>Improving Underlying Loss Trends:</w:t>
      </w:r>
      <w:r>
        <w:rPr>
          <w:rFonts w:ascii="Calibri" w:hAnsi="Calibri"/>
          <w:color w:val="525866"/>
          <w:sz w:val="22"/>
        </w:rPr>
        <w:t xml:space="preserve"> A 1.5 percentage point decrease in the current accident year loss ratio (ex-cat) for North America Personal P&amp;C Insurance, suggesting improving underlying loss severity and/or frequency trends. </w:t>
      </w:r>
    </w:p>
    <w:p>
      <w:pPr>
        <w:pStyle w:val="ListBullet"/>
        <w:ind w:left="360" w:hanging="360"/>
      </w:pPr>
      <w:r>
        <w:rPr>
          <w:rFonts w:ascii="Calibri" w:hAnsi="Calibri"/>
          <w:b/>
          <w:color w:val="525866"/>
          <w:sz w:val="22"/>
        </w:rPr>
        <w:t>Favorable Reserve Development:</w:t>
      </w:r>
      <w:r>
        <w:rPr>
          <w:rFonts w:ascii="Calibri" w:hAnsi="Calibri"/>
          <w:color w:val="525866"/>
          <w:sz w:val="22"/>
        </w:rPr>
        <w:t xml:space="preserve"> Total pre-tax favorable prior period development of $283M (vs. $249M prior year), with North America Personal P&amp;C Insurance benefiting from a 2.4 percentage point decrease in its combined ratio from higher favorable prior period development. </w:t>
      </w:r>
    </w:p>
    <w:p>
      <w:pPr>
        <w:pStyle w:val="ListBullet"/>
        <w:ind w:left="360" w:hanging="360"/>
      </w:pPr>
      <w:r>
        <w:rPr>
          <w:rFonts w:ascii="Calibri" w:hAnsi="Calibri"/>
          <w:b/>
          <w:color w:val="525866"/>
          <w:sz w:val="22"/>
        </w:rPr>
        <w:t>Catastrophe Losses:</w:t>
      </w:r>
      <w:r>
        <w:rPr>
          <w:rFonts w:ascii="Calibri" w:hAnsi="Calibri"/>
          <w:color w:val="525866"/>
          <w:sz w:val="22"/>
        </w:rPr>
        <w:t xml:space="preserve"> Total pre-tax net catastrophe losses of $475M (vs. $630M prior year), with personal lines benefiting from lower cat losses. </w:t>
      </w:r>
    </w:p>
    <w:p>
      <w:pPr>
        <w:pStyle w:val="ListBullet"/>
        <w:ind w:left="360" w:hanging="360"/>
      </w:pPr>
      <w:r>
        <w:rPr>
          <w:rFonts w:ascii="Calibri" w:hAnsi="Calibri"/>
          <w:b/>
          <w:color w:val="525866"/>
          <w:sz w:val="22"/>
        </w:rPr>
        <w:t>Allstate Implication:</w:t>
      </w:r>
      <w:r>
        <w:rPr>
          <w:rFonts w:ascii="Calibri" w:hAnsi="Calibri"/>
          <w:color w:val="525866"/>
          <w:sz w:val="22"/>
        </w:rPr>
        <w:t xml:space="preserve"> Chubb’s strong personal lines results and favorable reserve development are a positive read-through for Allstate’s underlying profitability. Caveat: Chubb’s personal lines skew toward high-net-worth, which may have different loss characteristics than Allstate’s broader market book.</w:t>
      </w:r>
    </w:p>
    <w:p>
      <w:pPr>
        <w:pStyle w:val="Heading2"/>
      </w:pPr>
      <w:r>
        <w:rPr>
          <w:rFonts w:ascii="Calibri" w:hAnsi="Calibri"/>
          <w:b/>
          <w:color w:val="3B4259"/>
          <w:sz w:val="28"/>
        </w:rPr>
        <w:t>Hartford (HIG) — Q2 2026 Earnings Release (July 23, 2026)</w:t>
      </w:r>
    </w:p>
    <w:p>
      <w:r>
        <w:rPr>
          <w:rFonts w:ascii="Calibri" w:hAnsi="Calibri"/>
          <w:b/>
          <w:color w:val="525866"/>
          <w:sz w:val="22"/>
        </w:rPr>
        <w:t xml:space="preserve">Read-Through Signal: </w:t>
      </w:r>
      <w:r>
        <w:rPr>
          <w:rFonts w:ascii="Calibri" w:hAnsi="Calibri"/>
          <w:color w:val="525866"/>
          <w:sz w:val="22"/>
        </w:rPr>
        <w:t>Positive for auto profitability; cautionary on new business growth and expense ratios.</w:t>
      </w:r>
    </w:p>
    <w:p>
      <w:pPr>
        <w:pStyle w:val="ListBullet"/>
        <w:ind w:left="360" w:hanging="360"/>
      </w:pPr>
      <w:r>
        <w:rPr>
          <w:rFonts w:ascii="Calibri" w:hAnsi="Calibri"/>
          <w:b/>
          <w:color w:val="525866"/>
          <w:sz w:val="22"/>
        </w:rPr>
        <w:t>Personal Auto Profitability Improving:</w:t>
      </w:r>
      <w:r>
        <w:rPr>
          <w:rFonts w:ascii="Calibri" w:hAnsi="Calibri"/>
          <w:color w:val="525866"/>
          <w:sz w:val="22"/>
        </w:rPr>
        <w:t xml:space="preserve"> Personal Automobile combined ratio improved 5.5 points to 88.5%, with the underlying combined ratio improving 1.9 points to 93.3%, “driven by the impact of earned pricing increases outpacing loss cost trends.” Renewal written price increases of 5.5% in auto and 10.4% in homeowners. </w:t>
      </w:r>
    </w:p>
    <w:p>
      <w:pPr>
        <w:pStyle w:val="ListBullet"/>
        <w:ind w:left="360" w:hanging="360"/>
      </w:pPr>
      <w:r>
        <w:rPr>
          <w:rFonts w:ascii="Calibri" w:hAnsi="Calibri"/>
          <w:b/>
          <w:color w:val="525866"/>
          <w:sz w:val="22"/>
        </w:rPr>
        <w:t>Growth Challenges:</w:t>
      </w:r>
      <w:r>
        <w:rPr>
          <w:rFonts w:ascii="Calibri" w:hAnsi="Calibri"/>
          <w:color w:val="525866"/>
          <w:sz w:val="22"/>
        </w:rPr>
        <w:t xml:space="preserve"> Personal Insurance earned premium declined 3% due to “a competitive market environment that continues to pressure new business growth.” Retention improved modestly in auto and was stable in homeowners. </w:t>
      </w:r>
    </w:p>
    <w:p>
      <w:pPr>
        <w:pStyle w:val="ListBullet"/>
        <w:ind w:left="360" w:hanging="360"/>
      </w:pPr>
      <w:r>
        <w:rPr>
          <w:rFonts w:ascii="Calibri" w:hAnsi="Calibri"/>
          <w:b/>
          <w:color w:val="525866"/>
          <w:sz w:val="22"/>
        </w:rPr>
        <w:t>Favorable Reserve Development:</w:t>
      </w:r>
      <w:r>
        <w:rPr>
          <w:rFonts w:ascii="Calibri" w:hAnsi="Calibri"/>
          <w:color w:val="525866"/>
          <w:sz w:val="22"/>
        </w:rPr>
        <w:t xml:space="preserve"> $59M pre-tax favorable PYD in Personal Insurance (vs. $41M prior year), with reserve reductions in both auto and homeowners. </w:t>
      </w:r>
    </w:p>
    <w:p>
      <w:pPr>
        <w:pStyle w:val="ListBullet"/>
        <w:ind w:left="360" w:hanging="360"/>
      </w:pPr>
      <w:r>
        <w:rPr>
          <w:rFonts w:ascii="Calibri" w:hAnsi="Calibri"/>
          <w:b/>
          <w:color w:val="525866"/>
          <w:sz w:val="22"/>
        </w:rPr>
        <w:t>Expense Ratio Pressure:</w:t>
      </w:r>
      <w:r>
        <w:rPr>
          <w:rFonts w:ascii="Calibri" w:hAnsi="Calibri"/>
          <w:color w:val="525866"/>
          <w:sz w:val="22"/>
        </w:rPr>
        <w:t xml:space="preserve"> Personal Insurance expense ratio increased to 26.3% from 25.1%, “primarily due to the impact of lower earned premiums and increased premium mix towards agency, driving higher commissions.” </w:t>
      </w:r>
    </w:p>
    <w:p>
      <w:pPr>
        <w:pStyle w:val="ListBullet"/>
        <w:ind w:left="360" w:hanging="360"/>
      </w:pPr>
      <w:r>
        <w:rPr>
          <w:rFonts w:ascii="Calibri" w:hAnsi="Calibri"/>
          <w:b/>
          <w:color w:val="525866"/>
          <w:sz w:val="22"/>
        </w:rPr>
        <w:t>Allstate Implication:</w:t>
      </w:r>
      <w:r>
        <w:rPr>
          <w:rFonts w:ascii="Calibri" w:hAnsi="Calibri"/>
          <w:color w:val="525866"/>
          <w:sz w:val="22"/>
        </w:rPr>
        <w:t xml:space="preserve"> HIG’s experience confirms that earned pricing increases are outpacing loss cost trends in personal auto — a positive for Allstate’s underlying combined ratio. However, the competitive market environment pressuring new business growth is a watch item for Allstate’s PIF trajectory.</w:t>
      </w:r>
    </w:p>
    <w:p>
      <w:pPr>
        <w:pStyle w:val="Heading2"/>
      </w:pPr>
      <w:r>
        <w:rPr>
          <w:rFonts w:ascii="Calibri" w:hAnsi="Calibri"/>
          <w:b/>
          <w:color w:val="3B4259"/>
          <w:sz w:val="28"/>
        </w:rPr>
        <w:t>Progressive (PGR) — Q2 2026 Earnings Call (August 4, 2026)</w:t>
      </w:r>
    </w:p>
    <w:p>
      <w:r>
        <w:rPr>
          <w:rFonts w:ascii="Calibri" w:hAnsi="Calibri"/>
          <w:b/>
          <w:color w:val="525866"/>
          <w:sz w:val="22"/>
        </w:rPr>
        <w:t xml:space="preserve">Read-Through Signal: </w:t>
      </w:r>
      <w:r>
        <w:rPr>
          <w:rFonts w:ascii="Calibri" w:hAnsi="Calibri"/>
          <w:color w:val="525866"/>
          <w:sz w:val="22"/>
        </w:rPr>
        <w:t>Most important peer read-through — signals intensifying auto pricing competition and a homeowners market that is opening up for growth.</w:t>
      </w:r>
    </w:p>
    <w:p>
      <w:pPr>
        <w:pStyle w:val="ListBullet"/>
        <w:ind w:left="360" w:hanging="360"/>
      </w:pPr>
      <w:r>
        <w:rPr>
          <w:rFonts w:ascii="Calibri" w:hAnsi="Calibri"/>
          <w:b/>
          <w:color w:val="525866"/>
          <w:sz w:val="22"/>
        </w:rPr>
        <w:t>Aggressive Auto Rate Cuts:</w:t>
      </w:r>
      <w:r>
        <w:rPr>
          <w:rFonts w:ascii="Calibri" w:hAnsi="Calibri"/>
          <w:color w:val="525866"/>
          <w:sz w:val="22"/>
        </w:rPr>
        <w:t xml:space="preserve"> Progressive decreased auto rates in 16 states representing 37% of countrywide net written premium in Q2 2026, and year-to-date has cut rates in 30 states representing 63% of premium. Management described this as a “surgical” approach driven by strong profitability. This is the single most important competitive read-through for Allstate, as it signals that the largest personal auto competitor is actively seeking growth through pricing. </w:t>
      </w:r>
    </w:p>
    <w:p>
      <w:pPr>
        <w:pStyle w:val="ListBullet"/>
        <w:ind w:left="360" w:hanging="360"/>
      </w:pPr>
      <w:r>
        <w:rPr>
          <w:rFonts w:ascii="Calibri" w:hAnsi="Calibri"/>
          <w:b/>
          <w:color w:val="525866"/>
          <w:sz w:val="22"/>
        </w:rPr>
        <w:t>Stable Auto Frequency:</w:t>
      </w:r>
      <w:r>
        <w:rPr>
          <w:rFonts w:ascii="Calibri" w:hAnsi="Calibri"/>
          <w:color w:val="525866"/>
          <w:sz w:val="22"/>
        </w:rPr>
        <w:t xml:space="preserve"> Auto frequency was down approximately 2.5% in Q2 2026 and down 2% for the trailing 12 months, with “no signs that it’s ticking up.” Vehicle miles traveled were down about 4 points in the quarter. </w:t>
      </w:r>
    </w:p>
    <w:p>
      <w:pPr>
        <w:pStyle w:val="ListBullet"/>
        <w:ind w:left="360" w:hanging="360"/>
      </w:pPr>
      <w:r>
        <w:rPr>
          <w:rFonts w:ascii="Calibri" w:hAnsi="Calibri"/>
          <w:b/>
          <w:color w:val="525866"/>
          <w:sz w:val="22"/>
        </w:rPr>
        <w:t>Elevated Shopping Activity:</w:t>
      </w:r>
      <w:r>
        <w:rPr>
          <w:rFonts w:ascii="Calibri" w:hAnsi="Calibri"/>
          <w:color w:val="525866"/>
          <w:sz w:val="22"/>
        </w:rPr>
        <w:t xml:space="preserve"> Shopping activity is “leveling off” but “remains high” compared to historical standards, driven by “consumer price sensitivity.” PGR added 45,000 auto PIFs in June and achieved its sixth-best sales quarter ever for direct auto new business applications. </w:t>
      </w:r>
    </w:p>
    <w:p>
      <w:pPr>
        <w:pStyle w:val="ListBullet"/>
        <w:ind w:left="360" w:hanging="360"/>
      </w:pPr>
      <w:r>
        <w:rPr>
          <w:rFonts w:ascii="Calibri" w:hAnsi="Calibri"/>
          <w:b/>
          <w:color w:val="525866"/>
          <w:sz w:val="22"/>
        </w:rPr>
        <w:t>Homeowners Turnaround Complete:</w:t>
      </w:r>
      <w:r>
        <w:rPr>
          <w:rFonts w:ascii="Calibri" w:hAnsi="Calibri"/>
          <w:color w:val="525866"/>
          <w:sz w:val="22"/>
        </w:rPr>
        <w:t xml:space="preserve"> Progressive declared the property turnaround “substantially complete,” with a year-to-date combined ratio of 78% in 2026 and 41 states now classified as “healthy and well positioned for growth” (vs. 18 states in May 2025). Availability has more than doubled since Q3 2024. </w:t>
      </w:r>
    </w:p>
    <w:p>
      <w:pPr>
        <w:pStyle w:val="ListBullet"/>
        <w:ind w:left="360" w:hanging="360"/>
      </w:pPr>
      <w:r>
        <w:rPr>
          <w:rFonts w:ascii="Calibri" w:hAnsi="Calibri"/>
          <w:b/>
          <w:color w:val="525866"/>
          <w:sz w:val="22"/>
        </w:rPr>
        <w:t>Allstate Implication:</w:t>
      </w:r>
      <w:r>
        <w:rPr>
          <w:rFonts w:ascii="Calibri" w:hAnsi="Calibri"/>
          <w:color w:val="525866"/>
          <w:sz w:val="22"/>
        </w:rPr>
        <w:t xml:space="preserve"> Progressive’s aggressive rate cuts in auto are the most significant competitive threat to Allstate’s growth strategy. If Allstate does not match these adjustments in key markets, it risks losing market share. However, the stable frequency environment and homeowners market opening are positive for Allstate’s overall book.</w:t>
      </w:r>
    </w:p>
    <w:p>
      <w:pPr>
        <w:pStyle w:val="Heading2"/>
      </w:pPr>
      <w:r>
        <w:rPr>
          <w:rFonts w:ascii="Calibri" w:hAnsi="Calibri"/>
          <w:b/>
          <w:color w:val="3B4259"/>
          <w:sz w:val="28"/>
        </w:rPr>
        <w:t>Cincinnati Financial (CINF) — Q2 2026 Earnings Call (July 28, 2026)</w:t>
      </w:r>
    </w:p>
    <w:p>
      <w:r>
        <w:rPr>
          <w:rFonts w:ascii="Calibri" w:hAnsi="Calibri"/>
          <w:b/>
          <w:color w:val="525866"/>
          <w:sz w:val="22"/>
        </w:rPr>
        <w:t xml:space="preserve">Read-Through Signal: </w:t>
      </w:r>
      <w:r>
        <w:rPr>
          <w:rFonts w:ascii="Calibri" w:hAnsi="Calibri"/>
          <w:color w:val="525866"/>
          <w:sz w:val="22"/>
        </w:rPr>
        <w:t>Cautionary on catastrophe losses and personal lines new business growth; confirms pricing discipline is industry-wide.</w:t>
      </w:r>
    </w:p>
    <w:p>
      <w:pPr>
        <w:pStyle w:val="ListBullet"/>
        <w:ind w:left="360" w:hanging="360"/>
      </w:pPr>
      <w:r>
        <w:rPr>
          <w:rFonts w:ascii="Calibri" w:hAnsi="Calibri"/>
          <w:b/>
          <w:color w:val="525866"/>
          <w:sz w:val="22"/>
        </w:rPr>
        <w:t>Elevated Catastrophe Losses:</w:t>
      </w:r>
      <w:r>
        <w:rPr>
          <w:rFonts w:ascii="Calibri" w:hAnsi="Calibri"/>
          <w:color w:val="525866"/>
          <w:sz w:val="22"/>
        </w:rPr>
        <w:t xml:space="preserve"> CINF reported Q2 2026 catastrophe losses “modestly higher than our longer-term average,” contributing 2.3 percentage points to the overall combined ratio increase. Personal lines saw a 1.6-point decrease from lower cat losses, but commercial lines saw a 4.9-point increase. </w:t>
      </w:r>
    </w:p>
    <w:p>
      <w:pPr>
        <w:pStyle w:val="ListBullet"/>
        <w:ind w:left="360" w:hanging="360"/>
      </w:pPr>
      <w:r>
        <w:rPr>
          <w:rFonts w:ascii="Calibri" w:hAnsi="Calibri"/>
          <w:b/>
          <w:color w:val="525866"/>
          <w:sz w:val="22"/>
        </w:rPr>
        <w:t>Personal Lines Pricing Discipline:</w:t>
      </w:r>
      <w:r>
        <w:rPr>
          <w:rFonts w:ascii="Calibri" w:hAnsi="Calibri"/>
          <w:color w:val="525866"/>
          <w:sz w:val="22"/>
        </w:rPr>
        <w:t xml:space="preserve"> CINF reported “high single-digit percentage range” price increases in personal auto and homeowners for Q2 2026, but personal lines net written premiums grew only 1% due to lower new business premiums reflecting “softening market conditions.” Management emphasized “profit first” even if it means growth pressure. </w:t>
      </w:r>
    </w:p>
    <w:p>
      <w:pPr>
        <w:pStyle w:val="ListBullet"/>
        <w:ind w:left="360" w:hanging="360"/>
      </w:pPr>
      <w:r>
        <w:rPr>
          <w:rFonts w:ascii="Calibri" w:hAnsi="Calibri"/>
          <w:b/>
          <w:color w:val="525866"/>
          <w:sz w:val="22"/>
        </w:rPr>
        <w:t>Favorable Reserve Development:</w:t>
      </w:r>
      <w:r>
        <w:rPr>
          <w:rFonts w:ascii="Calibri" w:hAnsi="Calibri"/>
          <w:color w:val="525866"/>
          <w:sz w:val="22"/>
        </w:rPr>
        <w:t xml:space="preserve"> $42M of property casualty net favorable reserve development on prior accident years, benefiting the combined ratio by 1.7 percentage points. </w:t>
      </w:r>
    </w:p>
    <w:p>
      <w:pPr>
        <w:pStyle w:val="ListBullet"/>
        <w:ind w:left="360" w:hanging="360"/>
      </w:pPr>
      <w:r>
        <w:rPr>
          <w:rFonts w:ascii="Calibri" w:hAnsi="Calibri"/>
          <w:b/>
          <w:color w:val="525866"/>
          <w:sz w:val="22"/>
        </w:rPr>
        <w:t>Allstate Implication:</w:t>
      </w:r>
      <w:r>
        <w:rPr>
          <w:rFonts w:ascii="Calibri" w:hAnsi="Calibri"/>
          <w:color w:val="525866"/>
          <w:sz w:val="22"/>
        </w:rPr>
        <w:t xml:space="preserve"> CINF’s experience confirms that the personal lines market is softening on new business growth even as pricing remains healthy. The elevated cat environment is an industry-wide challenge. Allstate’s focus on growth acceleration may face headwinds from the competitive market dynamics CINF describes.</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Q2 2026 Theme</w:t>
            </w:r>
          </w:p>
        </w:tc>
        <w:tc>
          <w:tcPr>
            <w:tcW w:type="dxa" w:w="1728"/>
            <w:shd w:val="clear" w:color="auto" w:fill="3B4259"/>
          </w:tcPr>
          <w:p>
            <w:r>
              <w:rPr>
                <w:rFonts w:ascii="Calibri" w:hAnsi="Calibri"/>
                <w:b/>
                <w:color w:val="FFFFFF"/>
                <w:sz w:val="22"/>
              </w:rPr>
              <w:t>ALL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Travelers (TRV)</w:t>
            </w:r>
          </w:p>
        </w:tc>
        <w:tc>
          <w:tcPr>
            <w:tcW w:type="dxa" w:w="1728"/>
          </w:tcPr>
          <w:p>
            <w:r>
              <w:rPr>
                <w:rFonts w:ascii="Calibri" w:hAnsi="Calibri"/>
                <w:sz w:val="22"/>
              </w:rPr>
              <w:t>July 17, 2026</w:t>
            </w:r>
          </w:p>
        </w:tc>
        <w:tc>
          <w:tcPr>
            <w:tcW w:type="dxa" w:w="1728"/>
          </w:tcPr>
          <w:p>
            <w:r>
              <w:rPr>
                <w:rFonts w:ascii="Calibri" w:hAnsi="Calibri"/>
                <w:sz w:val="22"/>
              </w:rPr>
              <w:t>Personal lines combined ratio 79.5%; auto frequency/severity favorable; pricing moderating</w:t>
            </w:r>
          </w:p>
        </w:tc>
        <w:tc>
          <w:tcPr>
            <w:tcW w:type="dxa" w:w="1728"/>
          </w:tcPr>
          <w:p>
            <w:r>
              <w:rPr>
                <w:rFonts w:ascii="Calibri" w:hAnsi="Calibri"/>
                <w:sz w:val="22"/>
              </w:rPr>
              <w:t>Positive for underlying CR; cautionary on pricing competition</w:t>
            </w:r>
          </w:p>
        </w:tc>
        <w:tc>
          <w:tcPr>
            <w:tcW w:type="dxa" w:w="1728"/>
          </w:tcPr>
          <w:p>
            <w:r>
              <w:rPr>
                <w:rFonts w:ascii="Calibri" w:hAnsi="Calibri"/>
                <w:b/>
                <w:color w:val="30A46C"/>
                <w:sz w:val="22"/>
              </w:rPr>
              <w:t>Positive</w:t>
            </w:r>
          </w:p>
        </w:tc>
      </w:tr>
      <w:tr>
        <w:tc>
          <w:tcPr>
            <w:tcW w:type="dxa" w:w="1728"/>
          </w:tcPr>
          <w:p>
            <w:r>
              <w:rPr>
                <w:rFonts w:ascii="Calibri" w:hAnsi="Calibri"/>
                <w:sz w:val="22"/>
              </w:rPr>
              <w:t>Chubb (CB)</w:t>
            </w:r>
          </w:p>
        </w:tc>
        <w:tc>
          <w:tcPr>
            <w:tcW w:type="dxa" w:w="1728"/>
          </w:tcPr>
          <w:p>
            <w:r>
              <w:rPr>
                <w:rFonts w:ascii="Calibri" w:hAnsi="Calibri"/>
                <w:sz w:val="22"/>
              </w:rPr>
              <w:t>July 21, 2026</w:t>
            </w:r>
          </w:p>
        </w:tc>
        <w:tc>
          <w:tcPr>
            <w:tcW w:type="dxa" w:w="1728"/>
          </w:tcPr>
          <w:p>
            <w:r>
              <w:rPr>
                <w:rFonts w:ascii="Calibri" w:hAnsi="Calibri"/>
                <w:sz w:val="22"/>
              </w:rPr>
              <w:t>Personal P&amp;C combined ratio 67.3%; favorable reserve development; lower cat losses</w:t>
            </w:r>
          </w:p>
        </w:tc>
        <w:tc>
          <w:tcPr>
            <w:tcW w:type="dxa" w:w="1728"/>
          </w:tcPr>
          <w:p>
            <w:r>
              <w:rPr>
                <w:rFonts w:ascii="Calibri" w:hAnsi="Calibri"/>
                <w:sz w:val="22"/>
              </w:rPr>
              <w:t>Positive for underlying CR and reserve development</w:t>
            </w:r>
          </w:p>
        </w:tc>
        <w:tc>
          <w:tcPr>
            <w:tcW w:type="dxa" w:w="1728"/>
          </w:tcPr>
          <w:p>
            <w:r>
              <w:rPr>
                <w:rFonts w:ascii="Calibri" w:hAnsi="Calibri"/>
                <w:b/>
                <w:color w:val="30A46C"/>
                <w:sz w:val="22"/>
              </w:rPr>
              <w:t>Positive</w:t>
            </w:r>
          </w:p>
        </w:tc>
      </w:tr>
      <w:tr>
        <w:tc>
          <w:tcPr>
            <w:tcW w:type="dxa" w:w="1728"/>
          </w:tcPr>
          <w:p>
            <w:r>
              <w:rPr>
                <w:rFonts w:ascii="Calibri" w:hAnsi="Calibri"/>
                <w:sz w:val="22"/>
              </w:rPr>
              <w:t>Hartford (HIG)</w:t>
            </w:r>
          </w:p>
        </w:tc>
        <w:tc>
          <w:tcPr>
            <w:tcW w:type="dxa" w:w="1728"/>
          </w:tcPr>
          <w:p>
            <w:r>
              <w:rPr>
                <w:rFonts w:ascii="Calibri" w:hAnsi="Calibri"/>
                <w:sz w:val="22"/>
              </w:rPr>
              <w:t>July 23, 2026</w:t>
            </w:r>
          </w:p>
        </w:tc>
        <w:tc>
          <w:tcPr>
            <w:tcW w:type="dxa" w:w="1728"/>
          </w:tcPr>
          <w:p>
            <w:r>
              <w:rPr>
                <w:rFonts w:ascii="Calibri" w:hAnsi="Calibri"/>
                <w:sz w:val="22"/>
              </w:rPr>
              <w:t>Auto CR improved 5.5 pts; pricing outpacing loss costs; new business under pressure</w:t>
            </w:r>
          </w:p>
        </w:tc>
        <w:tc>
          <w:tcPr>
            <w:tcW w:type="dxa" w:w="1728"/>
          </w:tcPr>
          <w:p>
            <w:r>
              <w:rPr>
                <w:rFonts w:ascii="Calibri" w:hAnsi="Calibri"/>
                <w:sz w:val="22"/>
              </w:rPr>
              <w:t>Positive for auto profitability; cautionary on new business growth</w:t>
            </w:r>
          </w:p>
        </w:tc>
        <w:tc>
          <w:tcPr>
            <w:tcW w:type="dxa" w:w="1728"/>
          </w:tcPr>
          <w:p>
            <w:r>
              <w:rPr>
                <w:rFonts w:ascii="Calibri" w:hAnsi="Calibri"/>
                <w:sz w:val="22"/>
              </w:rPr>
              <w:t>Mixed</w:t>
            </w:r>
          </w:p>
        </w:tc>
      </w:tr>
      <w:tr>
        <w:tc>
          <w:tcPr>
            <w:tcW w:type="dxa" w:w="1728"/>
          </w:tcPr>
          <w:p>
            <w:r>
              <w:rPr>
                <w:rFonts w:ascii="Calibri" w:hAnsi="Calibri"/>
                <w:sz w:val="22"/>
              </w:rPr>
              <w:t>Progressive (PGR)</w:t>
            </w:r>
          </w:p>
        </w:tc>
        <w:tc>
          <w:tcPr>
            <w:tcW w:type="dxa" w:w="1728"/>
          </w:tcPr>
          <w:p>
            <w:r>
              <w:rPr>
                <w:rFonts w:ascii="Calibri" w:hAnsi="Calibri"/>
                <w:sz w:val="22"/>
              </w:rPr>
              <w:t>August 4, 2026</w:t>
            </w:r>
          </w:p>
        </w:tc>
        <w:tc>
          <w:tcPr>
            <w:tcW w:type="dxa" w:w="1728"/>
          </w:tcPr>
          <w:p>
            <w:r>
              <w:rPr>
                <w:rFonts w:ascii="Calibri" w:hAnsi="Calibri"/>
                <w:sz w:val="22"/>
              </w:rPr>
              <w:t>Rate cuts in 63% of premium YTD; frequency stable; homeowners turnaround complete</w:t>
            </w:r>
          </w:p>
        </w:tc>
        <w:tc>
          <w:tcPr>
            <w:tcW w:type="dxa" w:w="1728"/>
          </w:tcPr>
          <w:p>
            <w:r>
              <w:rPr>
                <w:rFonts w:ascii="Calibri" w:hAnsi="Calibri"/>
                <w:sz w:val="22"/>
              </w:rPr>
              <w:t>Cautionary on auto pricing competition; positive for homeowners market</w:t>
            </w:r>
          </w:p>
        </w:tc>
        <w:tc>
          <w:tcPr>
            <w:tcW w:type="dxa" w:w="1728"/>
          </w:tcPr>
          <w:p>
            <w:r>
              <w:rPr>
                <w:rFonts w:ascii="Calibri" w:hAnsi="Calibri"/>
                <w:b/>
                <w:color w:val="E5484D"/>
                <w:sz w:val="22"/>
              </w:rPr>
              <w:t>Mixed</w:t>
            </w:r>
          </w:p>
        </w:tc>
      </w:tr>
      <w:tr>
        <w:tc>
          <w:tcPr>
            <w:tcW w:type="dxa" w:w="1728"/>
          </w:tcPr>
          <w:p>
            <w:r>
              <w:rPr>
                <w:rFonts w:ascii="Calibri" w:hAnsi="Calibri"/>
                <w:sz w:val="22"/>
              </w:rPr>
              <w:t>Cincinnati Financial (CINF)</w:t>
            </w:r>
          </w:p>
        </w:tc>
        <w:tc>
          <w:tcPr>
            <w:tcW w:type="dxa" w:w="1728"/>
          </w:tcPr>
          <w:p>
            <w:r>
              <w:rPr>
                <w:rFonts w:ascii="Calibri" w:hAnsi="Calibri"/>
                <w:sz w:val="22"/>
              </w:rPr>
              <w:t>July 28, 2026</w:t>
            </w:r>
          </w:p>
        </w:tc>
        <w:tc>
          <w:tcPr>
            <w:tcW w:type="dxa" w:w="1728"/>
          </w:tcPr>
          <w:p>
            <w:r>
              <w:rPr>
                <w:rFonts w:ascii="Calibri" w:hAnsi="Calibri"/>
                <w:sz w:val="22"/>
              </w:rPr>
              <w:t>Cat losses above average; personal lines new business soft; pricing discipline maintained</w:t>
            </w:r>
          </w:p>
        </w:tc>
        <w:tc>
          <w:tcPr>
            <w:tcW w:type="dxa" w:w="1728"/>
          </w:tcPr>
          <w:p>
            <w:r>
              <w:rPr>
                <w:rFonts w:ascii="Calibri" w:hAnsi="Calibri"/>
                <w:sz w:val="22"/>
              </w:rPr>
              <w:t>Cautionary on cat environment and new business growth</w:t>
            </w:r>
          </w:p>
        </w:tc>
        <w:tc>
          <w:tcPr>
            <w:tcW w:type="dxa" w:w="1728"/>
          </w:tcPr>
          <w:p>
            <w:r>
              <w:rPr>
                <w:rFonts w:ascii="Calibri" w:hAnsi="Calibri"/>
                <w:b/>
                <w:color w:val="E5484D"/>
                <w:sz w:val="22"/>
              </w:rPr>
              <w:t>Cautionary</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Only one insider transaction was identified in the post-Q1 earnings window — a discretionary open-market sale by the COO of Allstate Insurance Company (AIC). The sale is notable as it was not under a 10b5-1 plan, but the size is modest relative to the COO’s remaining holdings. No insider buying was observed.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Value (Approx.)</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Mario Rizzo</w:t>
            </w:r>
          </w:p>
        </w:tc>
        <w:tc>
          <w:tcPr>
            <w:tcW w:type="dxa" w:w="1080"/>
          </w:tcPr>
          <w:p>
            <w:r>
              <w:rPr>
                <w:rFonts w:ascii="Calibri" w:hAnsi="Calibri"/>
                <w:sz w:val="22"/>
              </w:rPr>
              <w:t>Chief Operating Officer — AIC</w:t>
            </w:r>
          </w:p>
        </w:tc>
        <w:tc>
          <w:tcPr>
            <w:tcW w:type="dxa" w:w="1080"/>
          </w:tcPr>
          <w:p>
            <w:r>
              <w:rPr>
                <w:rFonts w:ascii="Calibri" w:hAnsi="Calibri"/>
                <w:sz w:val="22"/>
              </w:rPr>
              <w:t>Open Market Sale</w:t>
            </w:r>
          </w:p>
        </w:tc>
        <w:tc>
          <w:tcPr>
            <w:tcW w:type="dxa" w:w="1080"/>
          </w:tcPr>
          <w:p>
            <w:r>
              <w:rPr>
                <w:rFonts w:ascii="Calibri" w:hAnsi="Calibri"/>
                <w:sz w:val="22"/>
              </w:rPr>
              <w:t>18,578</w:t>
            </w:r>
          </w:p>
        </w:tc>
        <w:tc>
          <w:tcPr>
            <w:tcW w:type="dxa" w:w="1080"/>
          </w:tcPr>
          <w:p>
            <w:r>
              <w:rPr>
                <w:rFonts w:ascii="Calibri" w:hAnsi="Calibri"/>
                <w:sz w:val="22"/>
              </w:rPr>
              <w:t>~$3.9M (est.)</w:t>
            </w:r>
          </w:p>
        </w:tc>
        <w:tc>
          <w:tcPr>
            <w:tcW w:type="dxa" w:w="1080"/>
          </w:tcPr>
          <w:p>
            <w:r>
              <w:rPr>
                <w:rFonts w:ascii="Calibri" w:hAnsi="Calibri"/>
                <w:sz w:val="22"/>
              </w:rPr>
              <w:t>May 1, 2026</w:t>
            </w:r>
          </w:p>
        </w:tc>
        <w:tc>
          <w:tcPr>
            <w:tcW w:type="dxa" w:w="1080"/>
          </w:tcPr>
          <w:p>
            <w:r>
              <w:rPr>
                <w:rFonts w:ascii="Calibri" w:hAnsi="Calibri"/>
                <w:sz w:val="22"/>
              </w:rPr>
              <w:t>May 4, 2026</w:t>
            </w:r>
          </w:p>
        </w:tc>
        <w:tc>
          <w:tcPr>
            <w:tcW w:type="dxa" w:w="1080"/>
          </w:tcPr>
          <w:p>
            <w:r>
              <w:rPr>
                <w:rFonts w:ascii="Calibri" w:hAnsi="Calibri"/>
                <w:sz w:val="22"/>
              </w:rPr>
              <w:t>Discretionary sale (not under 10b5-1 plan); 18.4% of holdings sold; 82,227 shares remaining post-transaction</w:t>
            </w:r>
          </w:p>
        </w:tc>
      </w:tr>
    </w:tbl>
    <w:p>
      <w:r>
        <w:rPr>
          <w:rFonts w:ascii="Calibri" w:hAnsi="Calibri"/>
          <w:color w:val="525866"/>
          <w:sz w:val="22"/>
        </w:rPr>
        <w:t>Source: SEC Form 4 Filings Database. Window covers April 29, 2026 (Q1 earnings date) through August 4, 2026 (preparation date).</w:t>
      </w:r>
    </w:p>
    <w:p>
      <w:r>
        <w:rPr>
          <w:rFonts w:ascii="Calibri" w:hAnsi="Calibri"/>
          <w:color w:val="525866"/>
          <w:sz w:val="22"/>
        </w:rPr>
        <w:t>The single insider transaction in the post-Q1 window is a discretionary open-market sale by Mario Rizzo, COO of Allstate Insurance Company, executed on May 1, 2026 — just two days after the Q1 earnings release. The timing (immediately post-earnings) and discretionary nature (no 10b5-1 plan) are worth noting, though the sale represents approximately 18% of his holdings and the remaining 82,227 shares represent a substantial ongoing stake. The absence of any insider buying, combined with the stock’s subsequent +24% rally, suggests insiders may have viewed the post-Q1 price as a reasonable exit point. No other Form 4 filings were identified for ALL in this window.</w:t>
      </w:r>
    </w:p>
    <w:p>
      <w:r>
        <w:br w:type="page"/>
      </w:r>
    </w:p>
    <w:p>
      <w:pPr>
        <w:pStyle w:val="Heading1"/>
        <w:pBdr>
          <w:bottom w:val="single" w:sz="4" w:space="1" w:color="FB9120"/>
        </w:pBdr>
      </w:pPr>
      <w:r>
        <w:rPr>
          <w:rFonts w:ascii="Calibri" w:hAnsi="Calibri"/>
          <w:b/>
          <w:color w:val="3B4259"/>
          <w:sz w:val="40"/>
        </w:rPr>
        <w:t>Appendix: EPS Revision Momentum (Trailing 12 Months)</w:t>
      </w:r>
    </w:p>
    <w:p>
      <w:r>
        <w:rPr>
          <w:rFonts w:ascii="Calibri" w:hAnsi="Calibri"/>
          <w:color w:val="525866"/>
          <w:sz w:val="22"/>
        </w:rPr>
        <w:t>The table below shows the trailing 12-month evolution of the Q2 2026 consensus operating EPS estimate alongside the stock price, illustrating the revision trajectory heading into the print.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Month-End</w:t>
            </w:r>
          </w:p>
        </w:tc>
        <w:tc>
          <w:tcPr>
            <w:tcW w:type="dxa" w:w="2880"/>
            <w:shd w:val="clear" w:color="auto" w:fill="3B4259"/>
          </w:tcPr>
          <w:p>
            <w:r>
              <w:rPr>
                <w:rFonts w:ascii="Calibri" w:hAnsi="Calibri"/>
                <w:b/>
                <w:color w:val="FFFFFF"/>
                <w:sz w:val="22"/>
              </w:rPr>
              <w:t>Q2 2026 EPS Estimate</w:t>
            </w:r>
          </w:p>
        </w:tc>
        <w:tc>
          <w:tcPr>
            <w:tcW w:type="dxa" w:w="2880"/>
            <w:shd w:val="clear" w:color="auto" w:fill="3B4259"/>
          </w:tcPr>
          <w:p>
            <w:r>
              <w:rPr>
                <w:rFonts w:ascii="Calibri" w:hAnsi="Calibri"/>
                <w:b/>
                <w:color w:val="FFFFFF"/>
                <w:sz w:val="22"/>
              </w:rPr>
              <w:t>Stock Price</w:t>
            </w:r>
          </w:p>
        </w:tc>
      </w:tr>
      <w:tr>
        <w:tc>
          <w:tcPr>
            <w:tcW w:type="dxa" w:w="2880"/>
          </w:tcPr>
          <w:p>
            <w:r>
              <w:rPr>
                <w:rFonts w:ascii="Calibri" w:hAnsi="Calibri"/>
                <w:sz w:val="22"/>
              </w:rPr>
              <w:t>Aug 2025</w:t>
            </w:r>
          </w:p>
        </w:tc>
        <w:tc>
          <w:tcPr>
            <w:tcW w:type="dxa" w:w="2880"/>
          </w:tcPr>
          <w:p>
            <w:r>
              <w:rPr>
                <w:rFonts w:ascii="Calibri" w:hAnsi="Calibri"/>
                <w:sz w:val="22"/>
              </w:rPr>
              <w:t>$4.22</w:t>
            </w:r>
          </w:p>
        </w:tc>
        <w:tc>
          <w:tcPr>
            <w:tcW w:type="dxa" w:w="2880"/>
          </w:tcPr>
          <w:p>
            <w:r>
              <w:rPr>
                <w:rFonts w:ascii="Calibri" w:hAnsi="Calibri"/>
                <w:sz w:val="22"/>
              </w:rPr>
              <w:t>$203.45</w:t>
            </w:r>
          </w:p>
        </w:tc>
      </w:tr>
      <w:tr>
        <w:tc>
          <w:tcPr>
            <w:tcW w:type="dxa" w:w="2880"/>
          </w:tcPr>
          <w:p>
            <w:r>
              <w:rPr>
                <w:rFonts w:ascii="Calibri" w:hAnsi="Calibri"/>
                <w:sz w:val="22"/>
              </w:rPr>
              <w:t>Sep 2025</w:t>
            </w:r>
          </w:p>
        </w:tc>
        <w:tc>
          <w:tcPr>
            <w:tcW w:type="dxa" w:w="2880"/>
          </w:tcPr>
          <w:p>
            <w:r>
              <w:rPr>
                <w:rFonts w:ascii="Calibri" w:hAnsi="Calibri"/>
                <w:sz w:val="22"/>
              </w:rPr>
              <w:t>$4.13</w:t>
            </w:r>
          </w:p>
        </w:tc>
        <w:tc>
          <w:tcPr>
            <w:tcW w:type="dxa" w:w="2880"/>
          </w:tcPr>
          <w:p>
            <w:r>
              <w:rPr>
                <w:rFonts w:ascii="Calibri" w:hAnsi="Calibri"/>
                <w:sz w:val="22"/>
              </w:rPr>
              <w:t>$214.65</w:t>
            </w:r>
          </w:p>
        </w:tc>
      </w:tr>
      <w:tr>
        <w:tc>
          <w:tcPr>
            <w:tcW w:type="dxa" w:w="2880"/>
          </w:tcPr>
          <w:p>
            <w:r>
              <w:rPr>
                <w:rFonts w:ascii="Calibri" w:hAnsi="Calibri"/>
                <w:sz w:val="22"/>
              </w:rPr>
              <w:t>Oct 2025</w:t>
            </w:r>
          </w:p>
        </w:tc>
        <w:tc>
          <w:tcPr>
            <w:tcW w:type="dxa" w:w="2880"/>
          </w:tcPr>
          <w:p>
            <w:r>
              <w:rPr>
                <w:rFonts w:ascii="Calibri" w:hAnsi="Calibri"/>
                <w:sz w:val="22"/>
              </w:rPr>
              <w:t>$4.11</w:t>
            </w:r>
          </w:p>
        </w:tc>
        <w:tc>
          <w:tcPr>
            <w:tcW w:type="dxa" w:w="2880"/>
          </w:tcPr>
          <w:p>
            <w:r>
              <w:rPr>
                <w:rFonts w:ascii="Calibri" w:hAnsi="Calibri"/>
                <w:sz w:val="22"/>
              </w:rPr>
              <w:t>$191.52</w:t>
            </w:r>
          </w:p>
        </w:tc>
      </w:tr>
      <w:tr>
        <w:tc>
          <w:tcPr>
            <w:tcW w:type="dxa" w:w="2880"/>
          </w:tcPr>
          <w:p>
            <w:r>
              <w:rPr>
                <w:rFonts w:ascii="Calibri" w:hAnsi="Calibri"/>
                <w:sz w:val="22"/>
              </w:rPr>
              <w:t>Nov 2025</w:t>
            </w:r>
          </w:p>
        </w:tc>
        <w:tc>
          <w:tcPr>
            <w:tcW w:type="dxa" w:w="2880"/>
          </w:tcPr>
          <w:p>
            <w:r>
              <w:rPr>
                <w:rFonts w:ascii="Calibri" w:hAnsi="Calibri"/>
                <w:sz w:val="22"/>
              </w:rPr>
              <w:t>$4.43</w:t>
            </w:r>
          </w:p>
        </w:tc>
        <w:tc>
          <w:tcPr>
            <w:tcW w:type="dxa" w:w="2880"/>
          </w:tcPr>
          <w:p>
            <w:r>
              <w:rPr>
                <w:rFonts w:ascii="Calibri" w:hAnsi="Calibri"/>
                <w:sz w:val="22"/>
              </w:rPr>
              <w:t>$212.98</w:t>
            </w:r>
          </w:p>
        </w:tc>
      </w:tr>
      <w:tr>
        <w:tc>
          <w:tcPr>
            <w:tcW w:type="dxa" w:w="2880"/>
          </w:tcPr>
          <w:p>
            <w:r>
              <w:rPr>
                <w:rFonts w:ascii="Calibri" w:hAnsi="Calibri"/>
                <w:sz w:val="22"/>
              </w:rPr>
              <w:t>Dec 2025</w:t>
            </w:r>
          </w:p>
        </w:tc>
        <w:tc>
          <w:tcPr>
            <w:tcW w:type="dxa" w:w="2880"/>
          </w:tcPr>
          <w:p>
            <w:r>
              <w:rPr>
                <w:rFonts w:ascii="Calibri" w:hAnsi="Calibri"/>
                <w:sz w:val="22"/>
              </w:rPr>
              <w:t>$4.42</w:t>
            </w:r>
          </w:p>
        </w:tc>
        <w:tc>
          <w:tcPr>
            <w:tcW w:type="dxa" w:w="2880"/>
          </w:tcPr>
          <w:p>
            <w:r>
              <w:rPr>
                <w:rFonts w:ascii="Calibri" w:hAnsi="Calibri"/>
                <w:sz w:val="22"/>
              </w:rPr>
              <w:t>$208.15</w:t>
            </w:r>
          </w:p>
        </w:tc>
      </w:tr>
      <w:tr>
        <w:tc>
          <w:tcPr>
            <w:tcW w:type="dxa" w:w="2880"/>
          </w:tcPr>
          <w:p>
            <w:r>
              <w:rPr>
                <w:rFonts w:ascii="Calibri" w:hAnsi="Calibri"/>
                <w:sz w:val="22"/>
              </w:rPr>
              <w:t>Jan 2026</w:t>
            </w:r>
          </w:p>
        </w:tc>
        <w:tc>
          <w:tcPr>
            <w:tcW w:type="dxa" w:w="2880"/>
          </w:tcPr>
          <w:p>
            <w:r>
              <w:rPr>
                <w:rFonts w:ascii="Calibri" w:hAnsi="Calibri"/>
                <w:sz w:val="22"/>
              </w:rPr>
              <w:t>$4.31</w:t>
            </w:r>
          </w:p>
        </w:tc>
        <w:tc>
          <w:tcPr>
            <w:tcW w:type="dxa" w:w="2880"/>
          </w:tcPr>
          <w:p>
            <w:r>
              <w:rPr>
                <w:rFonts w:ascii="Calibri" w:hAnsi="Calibri"/>
                <w:sz w:val="22"/>
              </w:rPr>
              <w:t>$198.99</w:t>
            </w:r>
          </w:p>
        </w:tc>
      </w:tr>
      <w:tr>
        <w:tc>
          <w:tcPr>
            <w:tcW w:type="dxa" w:w="2880"/>
          </w:tcPr>
          <w:p>
            <w:r>
              <w:rPr>
                <w:rFonts w:ascii="Calibri" w:hAnsi="Calibri"/>
                <w:sz w:val="22"/>
              </w:rPr>
              <w:t>Feb 2026</w:t>
            </w:r>
          </w:p>
        </w:tc>
        <w:tc>
          <w:tcPr>
            <w:tcW w:type="dxa" w:w="2880"/>
          </w:tcPr>
          <w:p>
            <w:r>
              <w:rPr>
                <w:rFonts w:ascii="Calibri" w:hAnsi="Calibri"/>
                <w:sz w:val="22"/>
              </w:rPr>
              <w:t>$4.47</w:t>
            </w:r>
          </w:p>
        </w:tc>
        <w:tc>
          <w:tcPr>
            <w:tcW w:type="dxa" w:w="2880"/>
          </w:tcPr>
          <w:p>
            <w:r>
              <w:rPr>
                <w:rFonts w:ascii="Calibri" w:hAnsi="Calibri"/>
                <w:sz w:val="22"/>
              </w:rPr>
              <w:t>$214.52</w:t>
            </w:r>
          </w:p>
        </w:tc>
      </w:tr>
      <w:tr>
        <w:tc>
          <w:tcPr>
            <w:tcW w:type="dxa" w:w="2880"/>
          </w:tcPr>
          <w:p>
            <w:r>
              <w:rPr>
                <w:rFonts w:ascii="Calibri" w:hAnsi="Calibri"/>
                <w:sz w:val="22"/>
              </w:rPr>
              <w:t>Mar 2026</w:t>
            </w:r>
          </w:p>
        </w:tc>
        <w:tc>
          <w:tcPr>
            <w:tcW w:type="dxa" w:w="2880"/>
          </w:tcPr>
          <w:p>
            <w:r>
              <w:rPr>
                <w:rFonts w:ascii="Calibri" w:hAnsi="Calibri"/>
                <w:sz w:val="22"/>
              </w:rPr>
              <w:t>$4.45</w:t>
            </w:r>
          </w:p>
        </w:tc>
        <w:tc>
          <w:tcPr>
            <w:tcW w:type="dxa" w:w="2880"/>
          </w:tcPr>
          <w:p>
            <w:r>
              <w:rPr>
                <w:rFonts w:ascii="Calibri" w:hAnsi="Calibri"/>
                <w:sz w:val="22"/>
              </w:rPr>
              <w:t>$207.34</w:t>
            </w:r>
          </w:p>
        </w:tc>
      </w:tr>
      <w:tr>
        <w:tc>
          <w:tcPr>
            <w:tcW w:type="dxa" w:w="2880"/>
          </w:tcPr>
          <w:p>
            <w:r>
              <w:rPr>
                <w:rFonts w:ascii="Calibri" w:hAnsi="Calibri"/>
                <w:sz w:val="22"/>
              </w:rPr>
              <w:t>Apr 2026</w:t>
            </w:r>
          </w:p>
        </w:tc>
        <w:tc>
          <w:tcPr>
            <w:tcW w:type="dxa" w:w="2880"/>
          </w:tcPr>
          <w:p>
            <w:r>
              <w:rPr>
                <w:rFonts w:ascii="Calibri" w:hAnsi="Calibri"/>
                <w:sz w:val="22"/>
              </w:rPr>
              <w:t>$5.13</w:t>
            </w:r>
          </w:p>
        </w:tc>
        <w:tc>
          <w:tcPr>
            <w:tcW w:type="dxa" w:w="2880"/>
          </w:tcPr>
          <w:p>
            <w:r>
              <w:rPr>
                <w:rFonts w:ascii="Calibri" w:hAnsi="Calibri"/>
                <w:sz w:val="22"/>
              </w:rPr>
              <w:t>$217.26</w:t>
            </w:r>
          </w:p>
        </w:tc>
      </w:tr>
      <w:tr>
        <w:tc>
          <w:tcPr>
            <w:tcW w:type="dxa" w:w="2880"/>
          </w:tcPr>
          <w:p>
            <w:r>
              <w:rPr>
                <w:rFonts w:ascii="Calibri" w:hAnsi="Calibri"/>
                <w:sz w:val="22"/>
              </w:rPr>
              <w:t>May 2026</w:t>
            </w:r>
          </w:p>
        </w:tc>
        <w:tc>
          <w:tcPr>
            <w:tcW w:type="dxa" w:w="2880"/>
          </w:tcPr>
          <w:p>
            <w:r>
              <w:rPr>
                <w:rFonts w:ascii="Calibri" w:hAnsi="Calibri"/>
                <w:sz w:val="22"/>
              </w:rPr>
              <w:t>$4.62</w:t>
            </w:r>
          </w:p>
        </w:tc>
        <w:tc>
          <w:tcPr>
            <w:tcW w:type="dxa" w:w="2880"/>
          </w:tcPr>
          <w:p>
            <w:r>
              <w:rPr>
                <w:rFonts w:ascii="Calibri" w:hAnsi="Calibri"/>
                <w:sz w:val="22"/>
              </w:rPr>
              <w:t>$206.09</w:t>
            </w:r>
          </w:p>
        </w:tc>
      </w:tr>
      <w:tr>
        <w:tc>
          <w:tcPr>
            <w:tcW w:type="dxa" w:w="2880"/>
          </w:tcPr>
          <w:p>
            <w:r>
              <w:rPr>
                <w:rFonts w:ascii="Calibri" w:hAnsi="Calibri"/>
                <w:sz w:val="22"/>
              </w:rPr>
              <w:t>Jun 2026</w:t>
            </w:r>
          </w:p>
        </w:tc>
        <w:tc>
          <w:tcPr>
            <w:tcW w:type="dxa" w:w="2880"/>
          </w:tcPr>
          <w:p>
            <w:r>
              <w:rPr>
                <w:rFonts w:ascii="Calibri" w:hAnsi="Calibri"/>
                <w:sz w:val="22"/>
              </w:rPr>
              <w:t>$5.08</w:t>
            </w:r>
          </w:p>
        </w:tc>
        <w:tc>
          <w:tcPr>
            <w:tcW w:type="dxa" w:w="2880"/>
          </w:tcPr>
          <w:p>
            <w:r>
              <w:rPr>
                <w:rFonts w:ascii="Calibri" w:hAnsi="Calibri"/>
                <w:sz w:val="22"/>
              </w:rPr>
              <w:t>$237.94</w:t>
            </w:r>
          </w:p>
        </w:tc>
      </w:tr>
      <w:tr>
        <w:tc>
          <w:tcPr>
            <w:tcW w:type="dxa" w:w="2880"/>
          </w:tcPr>
          <w:p>
            <w:r>
              <w:rPr>
                <w:rFonts w:ascii="Calibri" w:hAnsi="Calibri"/>
                <w:sz w:val="22"/>
              </w:rPr>
              <w:t>Jul 2026</w:t>
            </w:r>
          </w:p>
        </w:tc>
        <w:tc>
          <w:tcPr>
            <w:tcW w:type="dxa" w:w="2880"/>
          </w:tcPr>
          <w:p>
            <w:r>
              <w:rPr>
                <w:rFonts w:ascii="Calibri" w:hAnsi="Calibri"/>
                <w:sz w:val="22"/>
              </w:rPr>
              <w:t>$6.09</w:t>
            </w:r>
          </w:p>
        </w:tc>
        <w:tc>
          <w:tcPr>
            <w:tcW w:type="dxa" w:w="2880"/>
          </w:tcPr>
          <w:p>
            <w:r>
              <w:rPr>
                <w:rFonts w:ascii="Calibri" w:hAnsi="Calibri"/>
                <w:sz w:val="22"/>
              </w:rPr>
              <w:t>$264.08</w:t>
            </w:r>
          </w:p>
        </w:tc>
      </w:tr>
    </w:tbl>
    <w:p>
      <w:r>
        <w:rPr>
          <w:rFonts w:ascii="Calibri" w:hAnsi="Calibri"/>
          <w:color w:val="525866"/>
          <w:sz w:val="22"/>
        </w:rPr>
        <w:t>Source: Visible Alpha Consensus and Actuals Data (month-end snapshots of Q2 2026 consensus operating EPS estimate); Yahoo Finance (stock price).</w:t>
      </w:r>
    </w:p>
    <w:p>
      <w:r>
        <w:rPr>
          <w:rFonts w:ascii="Calibri" w:hAnsi="Calibri"/>
          <w:color w:val="525866"/>
          <w:sz w:val="22"/>
        </w:rPr>
        <w:t>The Q2 2026 EPS estimate was remarkably stable in the $4.1–$4.5 range from August 2025 through March 2026, reflecting limited visibility into the quarter. The estimate jumped to $5.13 in April 2026 (likely reflecting Q4 2025 earnings beat and improving outlook), then pulled back to $4.62 in May 2026 as the cat season began, before accelerating sharply to $6.09 by July 2026 as the market gained confidence in the underlying business despite the known cat load. The stock has broadly tracked the upward revision trajectory, with the most significant acceleration occurring in June–July 2026 as both estimates and the stock price moved materially higher.</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