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6" w:name="amd-q2-2026-earnings-preview"/>
    <w:p>
      <w:pPr>
        <w:pStyle w:val="Heading1"/>
      </w:pPr>
      <w:r>
        <w:t xml:space="preserve">AMD Q2 2026 Earnings Preview</w:t>
      </w:r>
    </w:p>
    <w:p>
      <w:pPr>
        <w:pStyle w:val="FirstParagraph"/>
      </w:pPr>
      <w:r>
        <w:rPr>
          <w:b/>
          <w:bCs/>
        </w:rPr>
        <w:t xml:space="preserve">Report date:</w:t>
      </w:r>
      <w:r>
        <w:t xml:space="preserve"> </w:t>
      </w:r>
      <w:r>
        <w:t xml:space="preserve">Tuesday, August 4, 2026, after market close |</w:t>
      </w:r>
      <w:r>
        <w:t xml:space="preserve"> </w:t>
      </w:r>
      <w:r>
        <w:rPr>
          <w:b/>
          <w:bCs/>
        </w:rPr>
        <w:t xml:space="preserve">Call:</w:t>
      </w:r>
      <w:r>
        <w:t xml:space="preserve"> </w:t>
      </w:r>
      <w:r>
        <w:t xml:space="preserve">5:00 p.m. ET / 2:00 p.m. PT</w:t>
      </w:r>
    </w:p>
    <w:bookmarkStart w:id="9" w:name="snapshot"/>
    <w:p>
      <w:pPr>
        <w:pStyle w:val="Heading2"/>
      </w:pPr>
      <w:r>
        <w:t xml:space="preserve">Snapshot</w:t>
      </w:r>
    </w:p>
    <w:p>
      <w:pPr>
        <w:pStyle w:val="FirstParagraph"/>
      </w:pPr>
      <w:r>
        <w:t xml:space="preserve">AMD reports fiscal Q2 2026 results tomorrow against a backdrop of blockbuster AI-infrastructure headlines, a sharp stock round-trip, and rapidly rising Street expectations. Consensus has settled around</w:t>
      </w:r>
      <w:r>
        <w:t xml:space="preserve"> </w:t>
      </w:r>
      <w:r>
        <w:rPr>
          <w:b/>
          <w:bCs/>
        </w:rPr>
        <w:t xml:space="preserve">revenue of ~</w:t>
      </w:r>
      <m:oMath>
        <m:r>
          <m:t>11.30</m:t>
        </m:r>
        <m:r>
          <m:rPr>
            <m:sty m:val="p"/>
          </m:rPr>
          <m:t>–</m:t>
        </m:r>
      </m:oMath>
      <w:r>
        <w:rPr>
          <w:b/>
          <w:bCs/>
        </w:rPr>
        <w:t xml:space="preserve">11.32 billion (+47% y/y)</w:t>
      </w:r>
      <w:r>
        <w:t xml:space="preserve"> </w:t>
      </w:r>
      <w:r>
        <w:t xml:space="preserve">and</w:t>
      </w:r>
      <w:r>
        <w:t xml:space="preserve"> </w:t>
      </w:r>
      <w:r>
        <w:rPr>
          <w:b/>
          <w:bCs/>
        </w:rPr>
        <w:t xml:space="preserve">non-GAAP EPS of ~</w:t>
      </w:r>
      <m:oMath>
        <m:r>
          <m:t>1.61</m:t>
        </m:r>
        <m:r>
          <m:rPr>
            <m:sty m:val="p"/>
          </m:rPr>
          <m:t>–</m:t>
        </m:r>
      </m:oMath>
      <w:r>
        <w:rPr>
          <w:b/>
          <w:bCs/>
        </w:rPr>
        <w:t xml:space="preserve">1.62</w:t>
      </w:r>
      <w:r>
        <w:t xml:space="preserve">, which would be up more than 235% year-over-year. That sits squarely in line with — to modestly above — AMD's own guidance issued in May of "approximately $11.2 billion, plus or minus $300 million" in revenue with non-GAAP gross margin expected to be approximately 56%.</w:t>
      </w:r>
    </w:p>
    <w:p>
      <w:pPr>
        <w:pStyle w:val="BodyText"/>
      </w:pPr>
      <w:r>
        <w:t xml:space="preserve">Options markets are pricing a large reaction: traders expect roughly a</w:t>
      </w:r>
      <w:r>
        <w:t xml:space="preserve"> </w:t>
      </w:r>
      <w:r>
        <w:rPr>
          <w:b/>
          <w:bCs/>
        </w:rPr>
        <w:t xml:space="preserve">12.28% post-earnings swing</w:t>
      </w:r>
      <w:r>
        <w:t xml:space="preserve">, slightly above AMD's average post-print move of 11% over the past four quarters. The Street's rating mix remains heavily bullish — a "Strong Buy" consensus with</w:t>
      </w:r>
      <w:r>
        <w:t xml:space="preserve"> </w:t>
      </w:r>
      <w:r>
        <w:rPr>
          <w:b/>
          <w:bCs/>
        </w:rPr>
        <w:t xml:space="preserve">28 Buys versus 8 Holds</w:t>
      </w:r>
      <w:r>
        <w:t xml:space="preserve"> </w:t>
      </w:r>
      <w:r>
        <w:t xml:space="preserve">and an average price target near</w:t>
      </w:r>
      <w:r>
        <w:t xml:space="preserve"> </w:t>
      </w:r>
      <m:oMath>
        <m:r>
          <m:t>579</m:t>
        </m:r>
        <m:r>
          <m:rPr>
            <m:sty m:val="p"/>
          </m:rPr>
          <m:t>*</m:t>
        </m:r>
        <m:r>
          <m:rPr>
            <m:sty m:val="p"/>
          </m:rPr>
          <m:t>*</m:t>
        </m:r>
        <m:r>
          <m:rPr>
            <m:sty m:val="p"/>
          </m:rPr>
          <m:t>,</m:t>
        </m:r>
        <m:r>
          <m:t>v</m:t>
        </m:r>
        <m:r>
          <m:t>e</m:t>
        </m:r>
        <m:r>
          <m:t>r</m:t>
        </m:r>
        <m:r>
          <m:t>s</m:t>
        </m:r>
        <m:r>
          <m:t>u</m:t>
        </m:r>
        <m:r>
          <m:t>s</m:t>
        </m:r>
        <m:r>
          <m:t>a</m:t>
        </m:r>
        <m:r>
          <m:t>s</m:t>
        </m:r>
        <m:r>
          <m:t>t</m:t>
        </m:r>
        <m:r>
          <m:t>o</m:t>
        </m:r>
        <m:r>
          <m:t>c</m:t>
        </m:r>
        <m:r>
          <m:t>k</m:t>
        </m:r>
        <m:r>
          <m:t>t</m:t>
        </m:r>
        <m:r>
          <m:t>h</m:t>
        </m:r>
        <m:r>
          <m:t>a</m:t>
        </m:r>
        <m:r>
          <m:t>t</m:t>
        </m:r>
        <m:r>
          <m:t>c</m:t>
        </m:r>
        <m:r>
          <m:t>l</m:t>
        </m:r>
        <m:r>
          <m:t>o</m:t>
        </m:r>
        <m:r>
          <m:t>s</m:t>
        </m:r>
        <m:r>
          <m:t>e</m:t>
        </m:r>
        <m:r>
          <m:t>d</m:t>
        </m:r>
        <m:r>
          <m:t>a</m:t>
        </m:r>
        <m:r>
          <m:t>r</m:t>
        </m:r>
        <m:r>
          <m:t>o</m:t>
        </m:r>
        <m:r>
          <m:t>u</m:t>
        </m:r>
        <m:r>
          <m:t>n</m:t>
        </m:r>
        <m:r>
          <m:t>d</m:t>
        </m:r>
        <m:r>
          <m:rPr>
            <m:sty m:val="p"/>
          </m:rPr>
          <m:t>*</m:t>
        </m:r>
        <m:r>
          <m:rPr>
            <m:sty m:val="p"/>
          </m:rPr>
          <m:t>*</m:t>
        </m:r>
      </m:oMath>
      <w:r>
        <w:rPr>
          <w:b/>
          <w:bCs/>
        </w:rPr>
        <w:t xml:space="preserve">484.68 on August 3</w:t>
      </w:r>
      <w:r>
        <w:t xml:space="preserve">, well off its late-June high above $580 but also well above where it sat a year ago.</w:t>
      </w:r>
    </w:p>
    <w:bookmarkEnd w:id="9"/>
    <w:bookmarkStart w:id="10" w:name="where-the-stock-has-been"/>
    <w:p>
      <w:pPr>
        <w:pStyle w:val="Heading2"/>
      </w:pPr>
      <w:r>
        <w:t xml:space="preserve">Where the stock has been</w:t>
      </w:r>
    </w:p>
    <w:p>
      <w:pPr>
        <w:pStyle w:val="FirstParagraph"/>
      </w:pPr>
      <w:r>
        <w:t xml:space="preserve">AMD has had an extraordinary — and volatile — 2026. Shares roughly doubled off 2026 lows near $190-200 in February to a peak above</w:t>
      </w:r>
      <w:r>
        <w:t xml:space="preserve"> </w:t>
      </w:r>
      <m:oMath>
        <m:r>
          <m:t>580</m:t>
        </m:r>
        <m:r>
          <m:t>i</m:t>
        </m:r>
        <m:r>
          <m:t>n</m:t>
        </m:r>
        <m:r>
          <m:t>l</m:t>
        </m:r>
        <m:r>
          <m:t>a</m:t>
        </m:r>
        <m:r>
          <m:t>t</m:t>
        </m:r>
        <m:r>
          <m:t>e</m:t>
        </m:r>
        <m:r>
          <m:t>J</m:t>
        </m:r>
        <m:r>
          <m:t>u</m:t>
        </m:r>
        <m:r>
          <m:t>n</m:t>
        </m:r>
        <m:r>
          <m:t>e</m:t>
        </m:r>
        <m:r>
          <m:rPr>
            <m:sty m:val="p"/>
          </m:rPr>
          <m:t>,</m:t>
        </m:r>
        <m:r>
          <m:t>b</m:t>
        </m:r>
        <m:r>
          <m:t>e</m:t>
        </m:r>
        <m:r>
          <m:t>f</m:t>
        </m:r>
        <m:r>
          <m:t>o</m:t>
        </m:r>
        <m:r>
          <m:t>r</m:t>
        </m:r>
        <m:r>
          <m:t>e</m:t>
        </m:r>
        <m:r>
          <m:t>s</m:t>
        </m:r>
        <m:r>
          <m:t>l</m:t>
        </m:r>
        <m:r>
          <m:t>i</m:t>
        </m:r>
        <m:r>
          <m:t>d</m:t>
        </m:r>
        <m:r>
          <m:t>i</m:t>
        </m:r>
        <m:r>
          <m:t>n</m:t>
        </m:r>
        <m:r>
          <m:t>g</m:t>
        </m:r>
        <m:r>
          <m:t>i</m:t>
        </m:r>
        <m:r>
          <m:t>n</m:t>
        </m:r>
        <m:r>
          <m:t>t</m:t>
        </m:r>
        <m:r>
          <m:t>o</m:t>
        </m:r>
        <m:r>
          <m:t>t</m:t>
        </m:r>
        <m:r>
          <m:t>h</m:t>
        </m:r>
        <m:r>
          <m:t>e</m:t>
        </m:r>
        <m:r>
          <m:t>h</m:t>
        </m:r>
        <m:r>
          <m:t>i</m:t>
        </m:r>
        <m:r>
          <m:t>g</m:t>
        </m:r>
        <m:r>
          <m:t>h</m:t>
        </m:r>
        <m:r>
          <m:rPr>
            <m:sty m:val="p"/>
          </m:rPr>
          <m:t>−</m:t>
        </m:r>
      </m:oMath>
      <w:r>
        <w:t xml:space="preserve">420s/low-$430s by July 29 amid a broad chip-sector selloff, then bouncing back into the</w:t>
      </w:r>
      <w:r>
        <w:t xml:space="preserve"> </w:t>
      </w:r>
      <m:oMath>
        <m:r>
          <m:t>470</m:t>
        </m:r>
        <m:r>
          <m:t>s</m:t>
        </m:r>
        <m:r>
          <m:rPr>
            <m:sty m:val="p"/>
          </m:rPr>
          <m:t>−</m:t>
        </m:r>
      </m:oMath>
      <w:r>
        <w:t xml:space="preserve">490s heading into earnings. The pullback was tied to sector-wide worries rather than AMD-specific news: investors reassessing whether the AI capex boom can be sustained given the web of vendor-financing and circular investment deals across the industry, plus renewed worries about Chinese competition and stretched AI valuations. A chip-sector rally on strong prints from Lam Research, Microsoft, and Arm helped stabilize sentiment into month-end.</w:t>
      </w:r>
    </w:p>
    <w:bookmarkEnd w:id="10"/>
    <w:bookmarkStart w:id="11" w:name="Xc0c332e9fd7f679ff301a3d1700716d9572471c"/>
    <w:p>
      <w:pPr>
        <w:pStyle w:val="Heading2"/>
      </w:pPr>
      <w:r>
        <w:t xml:space="preserve">Q1 recap: the quarter that set up this print</w:t>
      </w:r>
    </w:p>
    <w:p>
      <w:pPr>
        <w:pStyle w:val="FirstParagraph"/>
      </w:pPr>
      <w:r>
        <w:t xml:space="preserve">AMD's first quarter was the base case management is building on. Revenue was $10,253 million, up 38% year-over-year, with gross margin at 53% GAAP (55% non-GAAP) and non-GAAP EPS of $1.37. Data Center segment revenue hit $5.8 billion, up 57% year-over-year, driven by strong demand for AMD EPYC processors and the continued ramp of AMD Instinct GPU shipments, while Client business revenue was $2.9 billion, up 26% year-over-year and Embedded returned to growth. Free cash flow hit a record $2.6 billion (25% margin).</w:t>
      </w:r>
    </w:p>
    <w:p>
      <w:pPr>
        <w:pStyle w:val="BodyText"/>
      </w:pPr>
      <w:r>
        <w:t xml:space="preserve">Management's Q1 call struck a notably more confident tone than prior quarters. CEO Lisa Su said the company is now seeing "significant more CPU demand from really every major cloud provider as well as enterprise customers" and raised the server CPU TAM view to "greater than 35% to over</w:t>
      </w:r>
      <w:r>
        <w:t xml:space="preserve"> </w:t>
      </w:r>
      <w:r>
        <w:t xml:space="preserve">$120 billion" by 2030, up from an 18% CAGR/~$</w:t>
      </w:r>
      <w:r>
        <w:t xml:space="preserve">60B view given at the November Analyst Day. On the AI accelerator side, she said lead-customer forecasts for MI450/Helios are "above our initial plans that we had planned for 2027" and that AMD sees a "path to really get to exceed our original targets of greater than 80% CAGR" in Data Center AI revenue growth.</w:t>
      </w:r>
    </w:p>
    <w:p>
      <w:pPr>
        <w:pStyle w:val="BodyText"/>
      </w:pPr>
      <w:r>
        <w:t xml:space="preserve">For Q2 specifically, management guided to</w:t>
      </w:r>
      <w:r>
        <w:t xml:space="preserve"> </w:t>
      </w:r>
      <w:r>
        <w:rPr>
          <w:b/>
          <w:bCs/>
        </w:rPr>
        <w:t xml:space="preserve">server CPU revenue growing more than 70% year-over-year</w:t>
      </w:r>
      <w:r>
        <w:t xml:space="preserve">, with both Server and Data Center AI growing double-digits sequentially, and flagged that</w:t>
      </w:r>
      <w:r>
        <w:t xml:space="preserve"> </w:t>
      </w:r>
      <w:r>
        <w:rPr>
          <w:b/>
          <w:bCs/>
        </w:rPr>
        <w:t xml:space="preserve">Helios/MI450 production ramp begins in Q3, with a significant Q4 ramp</w:t>
      </w:r>
      <w:r>
        <w:t xml:space="preserve"> </w:t>
      </w:r>
      <w:r>
        <w:t xml:space="preserve">continuing into 2027. CFO Jean Hu also flagged headwinds worth watching this quarter: memory/component cost inflation is expected to pressure</w:t>
      </w:r>
      <w:r>
        <w:t xml:space="preserve"> </w:t>
      </w:r>
      <w:r>
        <w:rPr>
          <w:b/>
          <w:bCs/>
        </w:rPr>
        <w:t xml:space="preserve">second-half PC and gaming demand</w:t>
      </w:r>
      <w:r>
        <w:t xml:space="preserve">, with gaming revenue guided to decline more than 20% in H2 versus H1.</w:t>
      </w:r>
    </w:p>
    <w:bookmarkEnd w:id="11"/>
    <w:bookmarkStart w:id="12" w:name="whats-changed-since-the-q1-print--a-lot"/>
    <w:p>
      <w:pPr>
        <w:pStyle w:val="Heading2"/>
      </w:pPr>
      <w:r>
        <w:t xml:space="preserve">What's changed since the Q1 print — a lot</w:t>
      </w:r>
    </w:p>
    <w:p>
      <w:pPr>
        <w:pStyle w:val="FirstParagraph"/>
      </w:pPr>
      <w:r>
        <w:t xml:space="preserve">The seven-plus weeks since Q1 earnings have been unusually newsy, and much of it should feature prominently on tomorrow's call:</w:t>
      </w:r>
    </w:p>
    <w:p>
      <w:pPr>
        <w:pStyle w:val="Compact"/>
        <w:numPr>
          <w:ilvl w:val="0"/>
          <w:numId w:val="1001"/>
        </w:numPr>
      </w:pPr>
      <w:r>
        <w:rPr>
          <w:b/>
          <w:bCs/>
        </w:rPr>
        <w:t xml:space="preserve">"Advancing AI 2026" keynote (July 23):</w:t>
      </w:r>
      <w:r>
        <w:t xml:space="preserve"> </w:t>
      </w:r>
      <w:r>
        <w:t xml:space="preserve">AMD unveiled its</w:t>
      </w:r>
      <w:r>
        <w:t xml:space="preserve"> </w:t>
      </w:r>
      <w:r>
        <w:rPr>
          <w:b/>
          <w:bCs/>
        </w:rPr>
        <w:t xml:space="preserve">Helios</w:t>
      </w:r>
      <w:r>
        <w:t xml:space="preserve"> </w:t>
      </w:r>
      <w:r>
        <w:t xml:space="preserve">rack-scale AI system, which management is positioning as genuine competition to Nvidia's Vera Rubin platform, and raised its 2030 AI-chip TAM estimate to</w:t>
      </w:r>
      <w:r>
        <w:t xml:space="preserve"> </w:t>
      </w:r>
      <w:r>
        <w:rPr>
          <w:b/>
          <w:bCs/>
        </w:rPr>
        <w:t xml:space="preserve">$1.4 trillion</w:t>
      </w:r>
      <w:r>
        <w:t xml:space="preserve"> </w:t>
      </w:r>
      <w:r>
        <w:t xml:space="preserve">(from</w:t>
      </w:r>
      <w:r>
        <w:t xml:space="preserve"> </w:t>
      </w:r>
      <m:oMath>
        <m:r>
          <m:t>1</m:t>
        </m:r>
        <m:r>
          <m:t>t</m:t>
        </m:r>
        <m:r>
          <m:t>r</m:t>
        </m:r>
        <m:r>
          <m:t>i</m:t>
        </m:r>
        <m:r>
          <m:t>l</m:t>
        </m:r>
        <m:r>
          <m:t>l</m:t>
        </m:r>
        <m:r>
          <m:t>i</m:t>
        </m:r>
        <m:r>
          <m:t>o</m:t>
        </m:r>
        <m:r>
          <m:t>n</m:t>
        </m:r>
        <m:r>
          <m:t>a</m:t>
        </m:r>
        <m:r>
          <m:t>t</m:t>
        </m:r>
        <m:r>
          <m:t>l</m:t>
        </m:r>
        <m:r>
          <m:t>a</m:t>
        </m:r>
        <m:r>
          <m:t>s</m:t>
        </m:r>
        <m:r>
          <m:t>t</m:t>
        </m:r>
        <m:r>
          <m:t>N</m:t>
        </m:r>
        <m:r>
          <m:t>o</m:t>
        </m:r>
        <m:r>
          <m:t>v</m:t>
        </m:r>
        <m:r>
          <m:t>e</m:t>
        </m:r>
        <m:r>
          <m:t>m</m:t>
        </m:r>
        <m:r>
          <m:t>b</m:t>
        </m:r>
        <m:r>
          <m:t>e</m:t>
        </m:r>
        <m:sSup>
          <m:e>
            <m:r>
              <m:t>r</m:t>
            </m:r>
          </m:e>
          <m:sup>
            <m:r>
              <m:rPr>
                <m:sty m:val="p"/>
              </m:rPr>
              <m:t>′</m:t>
            </m:r>
          </m:sup>
        </m:sSup>
        <m:r>
          <m:t>s</m:t>
        </m:r>
        <m:r>
          <m:t>a</m:t>
        </m:r>
        <m:r>
          <m:t>n</m:t>
        </m:r>
        <m:r>
          <m:t>a</m:t>
        </m:r>
        <m:r>
          <m:t>l</m:t>
        </m:r>
        <m:r>
          <m:t>y</m:t>
        </m:r>
        <m:r>
          <m:t>s</m:t>
        </m:r>
        <m:r>
          <m:t>t</m:t>
        </m:r>
        <m:r>
          <m:t>d</m:t>
        </m:r>
        <m:r>
          <m:t>a</m:t>
        </m:r>
        <m:r>
          <m:t>y</m:t>
        </m:r>
        <m:r>
          <m:rPr>
            <m:sty m:val="p"/>
          </m:rPr>
          <m:t>)</m:t>
        </m:r>
        <m:r>
          <m:t>a</m:t>
        </m:r>
        <m:r>
          <m:t>n</m:t>
        </m:r>
        <m:r>
          <m:t>d</m:t>
        </m:r>
        <m:r>
          <m:t>i</m:t>
        </m:r>
        <m:r>
          <m:t>t</m:t>
        </m:r>
        <m:r>
          <m:t>s</m:t>
        </m:r>
        <m:r>
          <m:t>2030</m:t>
        </m:r>
        <m:r>
          <m:t>s</m:t>
        </m:r>
        <m:r>
          <m:t>e</m:t>
        </m:r>
        <m:r>
          <m:t>r</m:t>
        </m:r>
        <m:r>
          <m:t>v</m:t>
        </m:r>
        <m:r>
          <m:t>e</m:t>
        </m:r>
        <m:r>
          <m:t>r</m:t>
        </m:r>
        <m:r>
          <m:t>C</m:t>
        </m:r>
        <m:r>
          <m:t>P</m:t>
        </m:r>
        <m:r>
          <m:t>U</m:t>
        </m:r>
        <m:r>
          <m:t>T</m:t>
        </m:r>
        <m:r>
          <m:t>A</m:t>
        </m:r>
        <m:r>
          <m:t>M</m:t>
        </m:r>
        <m:r>
          <m:t>t</m:t>
        </m:r>
        <m:r>
          <m:t>o</m:t>
        </m:r>
        <m:r>
          <m:rPr>
            <m:sty m:val="p"/>
          </m:rPr>
          <m:t>*</m:t>
        </m:r>
        <m:r>
          <m:rPr>
            <m:sty m:val="p"/>
          </m:rPr>
          <m:t>*</m:t>
        </m:r>
      </m:oMath>
      <w:r>
        <w:t xml:space="preserve">220 billion** — a 267% increase from the $60 billion estimate given just eight months earlier.</w:t>
      </w:r>
    </w:p>
    <w:p>
      <w:pPr>
        <w:pStyle w:val="Compact"/>
        <w:numPr>
          <w:ilvl w:val="0"/>
          <w:numId w:val="1001"/>
        </w:numPr>
      </w:pPr>
      <w:r>
        <w:rPr>
          <w:b/>
          <w:bCs/>
        </w:rPr>
        <w:t xml:space="preserve">Microsoft Azure deal (July 20):</w:t>
      </w:r>
      <w:r>
        <w:t xml:space="preserve"> </w:t>
      </w:r>
      <w:r>
        <w:t xml:space="preserve">Microsoft confirmed plans to deploy AMD's Helios infrastructure and EPYC CPUs more broadly across Azure, adding to a Helios customer roster that already includes Meta, OpenAI, and Oracle.</w:t>
      </w:r>
    </w:p>
    <w:p>
      <w:pPr>
        <w:pStyle w:val="Compact"/>
        <w:numPr>
          <w:ilvl w:val="0"/>
          <w:numId w:val="1001"/>
        </w:numPr>
      </w:pPr>
      <w:r>
        <w:rPr>
          <w:b/>
          <w:bCs/>
        </w:rPr>
        <w:t xml:space="preserve">Anthropic partnership (July 22):</w:t>
      </w:r>
      <w:r>
        <w:t xml:space="preserve"> </w:t>
      </w:r>
      <w:r>
        <w:t xml:space="preserve">AMD signed a deal for Anthropic to purchase</w:t>
      </w:r>
      <w:r>
        <w:t xml:space="preserve"> </w:t>
      </w:r>
      <w:r>
        <w:rPr>
          <w:b/>
          <w:bCs/>
        </w:rPr>
        <w:t xml:space="preserve">up to 2 gigawatts</w:t>
      </w:r>
      <w:r>
        <w:t xml:space="preserve"> </w:t>
      </w:r>
      <w:r>
        <w:t xml:space="preserve">of AMD's next-gen</w:t>
      </w:r>
      <w:r>
        <w:t xml:space="preserve"> </w:t>
      </w:r>
      <w:r>
        <w:rPr>
          <w:b/>
          <w:bCs/>
        </w:rPr>
        <w:t xml:space="preserve">MI450</w:t>
      </w:r>
      <w:r>
        <w:t xml:space="preserve"> </w:t>
      </w:r>
      <w:r>
        <w:t xml:space="preserve">chips (deliveries starting H1 2027), alongside a</w:t>
      </w:r>
      <w:r>
        <w:t xml:space="preserve"> </w:t>
      </w:r>
      <w:r>
        <w:rPr>
          <w:b/>
          <w:bCs/>
        </w:rPr>
        <w:t xml:space="preserve">$5 billion investment</w:t>
      </w:r>
      <w:r>
        <w:t xml:space="preserve"> </w:t>
      </w:r>
      <w:r>
        <w:t xml:space="preserve">by AMD into Anthropic and talks around backing Anthropic's data-center leases — a deal structure that has drawn some "circular financing" scrutiny across the AI ecosystem.</w:t>
      </w:r>
    </w:p>
    <w:p>
      <w:pPr>
        <w:pStyle w:val="Compact"/>
        <w:numPr>
          <w:ilvl w:val="0"/>
          <w:numId w:val="1001"/>
        </w:numPr>
      </w:pPr>
      <w:r>
        <w:rPr>
          <w:b/>
          <w:bCs/>
        </w:rPr>
        <w:t xml:space="preserve">Core Scientific infrastructure deal (July 28):</w:t>
      </w:r>
      <w:r>
        <w:t xml:space="preserve"> </w:t>
      </w:r>
      <w:r>
        <w:t xml:space="preserve">AMD secured</w:t>
      </w:r>
      <w:r>
        <w:t xml:space="preserve"> </w:t>
      </w:r>
      <w:r>
        <w:rPr>
          <w:b/>
          <w:bCs/>
        </w:rPr>
        <w:t xml:space="preserve">500+ megawatts</w:t>
      </w:r>
      <w:r>
        <w:t xml:space="preserve"> </w:t>
      </w:r>
      <w:r>
        <w:t xml:space="preserve">of Core Scientific data-center capacity beginning in 2027 (expandable to 2.5 GW), anchored by 15-year agreements representing</w:t>
      </w:r>
      <w:r>
        <w:t xml:space="preserve"> </w:t>
      </w:r>
      <w:r>
        <w:rPr>
          <w:b/>
          <w:bCs/>
        </w:rPr>
        <w:t xml:space="preserve">more than $14 billion of potential contracted revenue</w:t>
      </w:r>
      <w:r>
        <w:t xml:space="preserve">, plus AMD receiving warrants in Core Scientific.</w:t>
      </w:r>
    </w:p>
    <w:p>
      <w:pPr>
        <w:pStyle w:val="Compact"/>
        <w:numPr>
          <w:ilvl w:val="0"/>
          <w:numId w:val="1001"/>
        </w:numPr>
      </w:pPr>
      <w:r>
        <w:rPr>
          <w:b/>
          <w:bCs/>
        </w:rPr>
        <w:t xml:space="preserve">China server CPU pricing:</w:t>
      </w:r>
      <w:r>
        <w:t xml:space="preserve"> </w:t>
      </w:r>
      <w:r>
        <w:t xml:space="preserve">Reuters reported AMD (and Intel) signing long-term server CPU supply deals with Chinese customers as chip prices surge, a dynamic tied to broader supply tightness rather than new export approvals.</w:t>
      </w:r>
    </w:p>
    <w:p>
      <w:pPr>
        <w:pStyle w:val="Compact"/>
        <w:numPr>
          <w:ilvl w:val="0"/>
          <w:numId w:val="1001"/>
        </w:numPr>
      </w:pPr>
      <w:r>
        <w:rPr>
          <w:b/>
          <w:bCs/>
        </w:rPr>
        <w:t xml:space="preserve">Cerebras partnership (July 24):</w:t>
      </w:r>
      <w:r>
        <w:t xml:space="preserve"> </w:t>
      </w:r>
      <w:r>
        <w:t xml:space="preserve">A tie-up aimed at delivering some of the fastest AI inference systems on the market, another data point in AMD's expanding AI ecosystem strategy.</w:t>
      </w:r>
    </w:p>
    <w:p>
      <w:pPr>
        <w:pStyle w:val="FirstParagraph"/>
      </w:pPr>
      <w:r>
        <w:t xml:space="preserve">Collectively, these announcements substantially deepen AMD's customer/demand visibility for MI450 and Helios beyond what was known at the Q1 print — which is exactly why sell-side estimates have been creeping higher into the print (e.g., Wedbush lifted its Q2 revenue estimate to $11.4B and EPS to $1.64, and full-year 2026 EPS to $7.22 from $6.95; Mizuho raised its price target to $625 citing "Helios and Venice launches").</w:t>
      </w:r>
    </w:p>
    <w:bookmarkEnd w:id="12"/>
    <w:bookmarkStart w:id="13" w:name="key-things-to-watch-on-the-call"/>
    <w:p>
      <w:pPr>
        <w:pStyle w:val="Heading2"/>
      </w:pPr>
      <w:r>
        <w:t xml:space="preserve">Key things to watch on the call</w:t>
      </w:r>
    </w:p>
    <w:p>
      <w:pPr>
        <w:pStyle w:val="Compact"/>
        <w:numPr>
          <w:ilvl w:val="0"/>
          <w:numId w:val="1002"/>
        </w:numPr>
      </w:pPr>
      <w:r>
        <w:rPr>
          <w:b/>
          <w:bCs/>
        </w:rPr>
        <w:t xml:space="preserve">Data Center AI trajectory and Q3/Q4 ramp confidence.</w:t>
      </w:r>
      <w:r>
        <w:t xml:space="preserve"> </w:t>
      </w:r>
      <w:r>
        <w:t xml:space="preserve">Investors will want confirmation that Helios/MI450 initial shipments are tracking to plan for a Q3 start and "significant ramp" in Q4, and any incremental commentary on 2027 visibility following the Meta, OpenAI, Anthropic, and Microsoft engagements.</w:t>
      </w:r>
    </w:p>
    <w:p>
      <w:pPr>
        <w:pStyle w:val="Compact"/>
        <w:numPr>
          <w:ilvl w:val="0"/>
          <w:numId w:val="1002"/>
        </w:numPr>
      </w:pPr>
      <w:r>
        <w:rPr>
          <w:b/>
          <w:bCs/>
        </w:rPr>
        <w:t xml:space="preserve">Server CPU momentum.</w:t>
      </w:r>
      <w:r>
        <w:t xml:space="preserve"> </w:t>
      </w:r>
      <w:r>
        <w:t xml:space="preserve">With Q2 guided for &gt;70% y/y server CPU growth, look for confirmation of share gains against x86 and ARM competitors and early Venice (6th-gen EPYC) traction ahead of its late-2026 launch.</w:t>
      </w:r>
    </w:p>
    <w:p>
      <w:pPr>
        <w:pStyle w:val="Compact"/>
        <w:numPr>
          <w:ilvl w:val="0"/>
          <w:numId w:val="1002"/>
        </w:numPr>
      </w:pPr>
      <w:r>
        <w:rPr>
          <w:b/>
          <w:bCs/>
        </w:rPr>
        <w:t xml:space="preserve">Gross margin puts and takes.</w:t>
      </w:r>
      <w:r>
        <w:t xml:space="preserve"> </w:t>
      </w:r>
      <w:r>
        <w:t xml:space="preserve">Management has guided to a long-term 55–58% gross margin range and flagged that MI450 ramp will initially run below corporate average margin in Q4, offset by tailwinds from server CPU mix, Embedded strength, and a shrinking (but higher-margin) gaming/client mix. Watch for updated framing on how these offset in H2.</w:t>
      </w:r>
    </w:p>
    <w:p>
      <w:pPr>
        <w:pStyle w:val="Compact"/>
        <w:numPr>
          <w:ilvl w:val="0"/>
          <w:numId w:val="1002"/>
        </w:numPr>
      </w:pPr>
      <w:r>
        <w:rPr>
          <w:b/>
          <w:bCs/>
        </w:rPr>
        <w:t xml:space="preserve">Client/Gaming demand amid memory inflation.</w:t>
      </w:r>
      <w:r>
        <w:t xml:space="preserve"> </w:t>
      </w:r>
      <w:r>
        <w:t xml:space="preserve">Q1 commentary flagged a potential H2 hit to PC and gaming demand from rising memory/component costs — an industry-wide dynamic (DRAM/HBM tightness) that's also relevant to margin and ASP conversations across the sector. Any update on the magnitude of this drag, or whether AMD is taking price to offset it, will matter.</w:t>
      </w:r>
    </w:p>
    <w:p>
      <w:pPr>
        <w:pStyle w:val="Compact"/>
        <w:numPr>
          <w:ilvl w:val="0"/>
          <w:numId w:val="1002"/>
        </w:numPr>
      </w:pPr>
      <w:r>
        <w:rPr>
          <w:b/>
          <w:bCs/>
        </w:rPr>
        <w:t xml:space="preserve">Capital allocation and the Anthropic/Core Scientific deal structures.</w:t>
      </w:r>
      <w:r>
        <w:t xml:space="preserve"> </w:t>
      </w:r>
      <w:r>
        <w:t xml:space="preserve">Given market sensitivity to "circular" AI financing arrangements, expect analysts to press for clarity on how AMD's equity stakes/warrants and financing commitments (Anthropic, Core Scientific) are being accounted for and what they imply for AMD's own balance sheet and capex.</w:t>
      </w:r>
    </w:p>
    <w:p>
      <w:pPr>
        <w:pStyle w:val="Compact"/>
        <w:numPr>
          <w:ilvl w:val="0"/>
          <w:numId w:val="1002"/>
        </w:numPr>
      </w:pPr>
      <w:r>
        <w:rPr>
          <w:b/>
          <w:bCs/>
        </w:rPr>
        <w:t xml:space="preserve">Updated TAM framing.</w:t>
      </w:r>
      <w:r>
        <w:t xml:space="preserve"> </w:t>
      </w:r>
      <w:r>
        <w:t xml:space="preserve">Following the Advancing AI updates ($1.4T AI TAM,</w:t>
      </w:r>
      <w:r>
        <w:t xml:space="preserve"> </w:t>
      </w:r>
      <m:oMath>
        <m:r>
          <m:t>220</m:t>
        </m:r>
        <m:r>
          <m:t>B</m:t>
        </m:r>
        <m:r>
          <m:t>C</m:t>
        </m:r>
        <m:r>
          <m:t>P</m:t>
        </m:r>
        <m:r>
          <m:t>U</m:t>
        </m:r>
        <m:r>
          <m:t>T</m:t>
        </m:r>
        <m:r>
          <m:t>A</m:t>
        </m:r>
        <m:r>
          <m:t>M</m:t>
        </m:r>
        <m:r>
          <m:t>b</m:t>
        </m:r>
        <m:r>
          <m:t>y</m:t>
        </m:r>
        <m:r>
          <m:t>2030</m:t>
        </m:r>
        <m:r>
          <m:rPr>
            <m:sty m:val="p"/>
          </m:rPr>
          <m:t>)</m:t>
        </m:r>
        <m:r>
          <m:rPr>
            <m:sty m:val="p"/>
          </m:rPr>
          <m:t>,</m:t>
        </m:r>
        <m:r>
          <m:t>w</m:t>
        </m:r>
        <m:r>
          <m:t>a</m:t>
        </m:r>
        <m:r>
          <m:t>t</m:t>
        </m:r>
        <m:r>
          <m:t>c</m:t>
        </m:r>
        <m:r>
          <m:t>h</m:t>
        </m:r>
        <m:r>
          <m:t>w</m:t>
        </m:r>
        <m:r>
          <m:t>h</m:t>
        </m:r>
        <m:r>
          <m:t>e</m:t>
        </m:r>
        <m:r>
          <m:t>t</m:t>
        </m:r>
        <m:r>
          <m:t>h</m:t>
        </m:r>
        <m:r>
          <m:t>e</m:t>
        </m:r>
        <m:r>
          <m:t>r</m:t>
        </m:r>
        <m:r>
          <m:t>m</m:t>
        </m:r>
        <m:r>
          <m:t>a</m:t>
        </m:r>
        <m:r>
          <m:t>n</m:t>
        </m:r>
        <m:r>
          <m:t>a</m:t>
        </m:r>
        <m:r>
          <m:t>g</m:t>
        </m:r>
        <m:r>
          <m:t>e</m:t>
        </m:r>
        <m:r>
          <m:t>m</m:t>
        </m:r>
        <m:r>
          <m:t>e</m:t>
        </m:r>
        <m:r>
          <m:t>n</m:t>
        </m:r>
        <m:r>
          <m:t>t</m:t>
        </m:r>
        <m:r>
          <m:t>r</m:t>
        </m:r>
        <m:r>
          <m:t>e</m:t>
        </m:r>
        <m:r>
          <m:t>i</m:t>
        </m:r>
        <m:r>
          <m:t>t</m:t>
        </m:r>
        <m:r>
          <m:t>e</m:t>
        </m:r>
        <m:r>
          <m:t>r</m:t>
        </m:r>
        <m:r>
          <m:t>a</m:t>
        </m:r>
        <m:r>
          <m:t>t</m:t>
        </m:r>
        <m:r>
          <m:t>e</m:t>
        </m:r>
        <m:r>
          <m:t>s</m:t>
        </m:r>
        <m:r>
          <m:t>o</m:t>
        </m:r>
        <m:r>
          <m:t>r</m:t>
        </m:r>
        <m:r>
          <m:t>f</m:t>
        </m:r>
        <m:r>
          <m:t>u</m:t>
        </m:r>
        <m:r>
          <m:t>r</m:t>
        </m:r>
        <m:r>
          <m:t>t</m:t>
        </m:r>
        <m:r>
          <m:t>h</m:t>
        </m:r>
        <m:r>
          <m:t>e</m:t>
        </m:r>
        <m:r>
          <m:t>r</m:t>
        </m:r>
        <m:r>
          <m:t>r</m:t>
        </m:r>
        <m:r>
          <m:t>a</m:t>
        </m:r>
        <m:r>
          <m:t>i</m:t>
        </m:r>
        <m:r>
          <m:t>s</m:t>
        </m:r>
        <m:r>
          <m:t>e</m:t>
        </m:r>
        <m:r>
          <m:t>s</m:t>
        </m:r>
        <m:r>
          <m:t>l</m:t>
        </m:r>
        <m:r>
          <m:t>o</m:t>
        </m:r>
        <m:r>
          <m:t>n</m:t>
        </m:r>
        <m:r>
          <m:t>g</m:t>
        </m:r>
        <m:r>
          <m:rPr>
            <m:sty m:val="p"/>
          </m:rPr>
          <m:t>−</m:t>
        </m:r>
        <m:r>
          <m:t>t</m:t>
        </m:r>
        <m:r>
          <m:t>e</m:t>
        </m:r>
        <m:r>
          <m:t>r</m:t>
        </m:r>
        <m:r>
          <m:t>m</m:t>
        </m:r>
        <m:r>
          <m:t>g</m:t>
        </m:r>
        <m:r>
          <m:t>r</m:t>
        </m:r>
        <m:r>
          <m:t>o</m:t>
        </m:r>
        <m:r>
          <m:t>w</m:t>
        </m:r>
        <m:r>
          <m:t>t</m:t>
        </m:r>
        <m:r>
          <m:t>h</m:t>
        </m:r>
        <m:r>
          <m:t>t</m:t>
        </m:r>
        <m:r>
          <m:t>a</m:t>
        </m:r>
        <m:r>
          <m:t>r</m:t>
        </m:r>
        <m:r>
          <m:t>g</m:t>
        </m:r>
        <m:r>
          <m:t>e</m:t>
        </m:r>
        <m:r>
          <m:t>t</m:t>
        </m:r>
        <m:r>
          <m:t>s</m:t>
        </m:r>
        <m:r>
          <m:rPr>
            <m:sty m:val="p"/>
          </m:rPr>
          <m:t>(</m:t>
        </m:r>
        <m:r>
          <m:t>p</m:t>
        </m:r>
        <m:r>
          <m:t>r</m:t>
        </m:r>
        <m:r>
          <m:t>e</m:t>
        </m:r>
        <m:r>
          <m:t>v</m:t>
        </m:r>
        <m:r>
          <m:t>i</m:t>
        </m:r>
        <m:r>
          <m:t>o</m:t>
        </m:r>
        <m:r>
          <m:t>u</m:t>
        </m:r>
        <m:r>
          <m:t>s</m:t>
        </m:r>
        <m:r>
          <m:t>l</m:t>
        </m:r>
        <m:r>
          <m:t>y</m:t>
        </m:r>
        <m:r>
          <m:rPr>
            <m:sty m:val="p"/>
          </m:rPr>
          <m:t>&gt;</m:t>
        </m:r>
        <m:r>
          <m:t>80</m:t>
        </m:r>
      </m:oMath>
      <w:r>
        <w:t xml:space="preserve">20 EPS over the "strategic time frame," &gt;50% server CPU share target).</w:t>
      </w:r>
    </w:p>
    <w:p>
      <w:pPr>
        <w:pStyle w:val="Compact"/>
        <w:numPr>
          <w:ilvl w:val="0"/>
          <w:numId w:val="1002"/>
        </w:numPr>
      </w:pPr>
      <w:r>
        <w:rPr>
          <w:b/>
          <w:bCs/>
        </w:rPr>
        <w:t xml:space="preserve">Q3 guidance.</w:t>
      </w:r>
      <w:r>
        <w:t xml:space="preserve"> </w:t>
      </w:r>
      <w:r>
        <w:t xml:space="preserve">Given the magnitude of new deals signed since May, the Q3 outlook is arguably more important than the Q2 beat/miss itself — the market will be looking for confirmation that Helios economics and volumes are showing up explicitly in guidance, not just qualitative commentary.</w:t>
      </w:r>
    </w:p>
    <w:bookmarkEnd w:id="13"/>
    <w:bookmarkStart w:id="14" w:name="risksswing-factors-into-the-print"/>
    <w:p>
      <w:pPr>
        <w:pStyle w:val="Heading2"/>
      </w:pPr>
      <w:r>
        <w:t xml:space="preserve">Risks/swing factors into the print</w:t>
      </w:r>
    </w:p>
    <w:p>
      <w:pPr>
        <w:pStyle w:val="Compact"/>
        <w:numPr>
          <w:ilvl w:val="0"/>
          <w:numId w:val="1003"/>
        </w:numPr>
      </w:pPr>
      <w:r>
        <w:rPr>
          <w:b/>
          <w:bCs/>
        </w:rPr>
        <w:t xml:space="preserve">Expectations are high and already moving higher</w:t>
      </w:r>
      <w:r>
        <w:t xml:space="preserve"> </w:t>
      </w:r>
      <w:r>
        <w:t xml:space="preserve">— several sell-side estimates have risen materially in the days ahead of earnings, raising the bar for a "beat and raise" to actually move the stock, especially with a ~12% implied options move already priced in.</w:t>
      </w:r>
    </w:p>
    <w:p>
      <w:pPr>
        <w:pStyle w:val="Compact"/>
        <w:numPr>
          <w:ilvl w:val="0"/>
          <w:numId w:val="1003"/>
        </w:numPr>
      </w:pPr>
      <w:r>
        <w:rPr>
          <w:b/>
          <w:bCs/>
        </w:rPr>
        <w:t xml:space="preserve">AI capex "circularity" debate</w:t>
      </w:r>
      <w:r>
        <w:t xml:space="preserve"> </w:t>
      </w:r>
      <w:r>
        <w:t xml:space="preserve">— the Anthropic investment/financing-backstop structure, layered on top of similar arrangements across the AI supply chain, could keep drawing scrutiny regardless of AMD's own results.</w:t>
      </w:r>
    </w:p>
    <w:p>
      <w:pPr>
        <w:pStyle w:val="Compact"/>
        <w:numPr>
          <w:ilvl w:val="0"/>
          <w:numId w:val="1003"/>
        </w:numPr>
      </w:pPr>
      <w:r>
        <w:rPr>
          <w:b/>
          <w:bCs/>
        </w:rPr>
        <w:t xml:space="preserve">Memory/component cost inflation</w:t>
      </w:r>
      <w:r>
        <w:t xml:space="preserve"> </w:t>
      </w:r>
      <w:r>
        <w:t xml:space="preserve">— a sector-wide DRAM/HBM tightness could squeeze Client and Gaming profitability/demand more than currently modeled, and is a variable AMD does not fully control.</w:t>
      </w:r>
    </w:p>
    <w:p>
      <w:pPr>
        <w:pStyle w:val="Compact"/>
        <w:numPr>
          <w:ilvl w:val="0"/>
          <w:numId w:val="1003"/>
        </w:numPr>
      </w:pPr>
      <w:r>
        <w:rPr>
          <w:b/>
          <w:bCs/>
        </w:rPr>
        <w:t xml:space="preserve">Competitive/geopolitical overhang</w:t>
      </w:r>
      <w:r>
        <w:t xml:space="preserve"> </w:t>
      </w:r>
      <w:r>
        <w:t xml:space="preserve">— persistent chatter about Chinese chip-manufacturing advances and Nvidia's competitive response (Vera Rubin) will remain a backdrop, even though AMD's own China revenue has been described as immaterial in recent quarters.</w:t>
      </w:r>
    </w:p>
    <w:p>
      <w:pPr>
        <w:pStyle w:val="Compact"/>
        <w:numPr>
          <w:ilvl w:val="0"/>
          <w:numId w:val="1003"/>
        </w:numPr>
      </w:pPr>
      <w:r>
        <w:rPr>
          <w:b/>
          <w:bCs/>
        </w:rPr>
        <w:t xml:space="preserve">Execution risk on the Helios ramp</w:t>
      </w:r>
      <w:r>
        <w:t xml:space="preserve"> </w:t>
      </w:r>
      <w:r>
        <w:t xml:space="preserve">— this is a complex, multi-generation rack-scale hardware/software ramp (silicon, HBM supply, power, data-center buildout) with many moving parts; any slippage versus the Q3-start/Q4-ramp timeline would be a negative surprise given how central it is to the bull case.</w:t>
      </w:r>
    </w:p>
    <w:bookmarkEnd w:id="14"/>
    <w:bookmarkStart w:id="15" w:name="bottom-line"/>
    <w:p>
      <w:pPr>
        <w:pStyle w:val="Heading2"/>
      </w:pPr>
      <w:r>
        <w:t xml:space="preserve">Bottom line</w:t>
      </w:r>
    </w:p>
    <w:p>
      <w:pPr>
        <w:pStyle w:val="FirstParagraph"/>
      </w:pPr>
      <w:r>
        <w:t xml:space="preserve">AMD heads into this print with re-accelerating fundamentals (Data Center now the primary growth engine, EPYC share gains, an inflecting AI accelerator business) layered on top of a remarkable run of strategic deal-making (Microsoft, Anthropic, Core Scientific, Cerebras) that has meaningfully expanded both near-term demand visibility and long-term TAM assumptions. The setup is a classic "high expectations, high reward/high risk" earnings event: a clean beat-and-raise with a strong Q3 guide and reassurance on Helios/MI450 timing could support a push back toward the ~$579 average price target, while any hint of a margin air-pocket from the AI ramp, softer client/gaming demand from memory inflation, or hesitancy around the newer deal structures could reignite the late-July-style selloff given how much good news is already priced in.</w:t>
      </w:r>
    </w:p>
    <w:bookmarkEnd w:id="15"/>
    <w:bookmarkEnd w:id="1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2026-08-04T01:50:46Z</dcterms:created>
  <dcterms:modified xsi:type="dcterms:W3CDTF">2026-08-04T01:50:46Z</dcterms:modified>
</cp:coreProperties>
</file>

<file path=docProps/custom.xml><?xml version="1.0" encoding="utf-8"?>
<Properties xmlns="http://schemas.openxmlformats.org/officeDocument/2006/custom-properties" xmlns:vt="http://schemas.openxmlformats.org/officeDocument/2006/docPropsVTypes"/>
</file>