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amd-fiscal-q2-2026-earnings-preview"/>
    <w:p>
      <w:pPr>
        <w:pStyle w:val="Heading1"/>
      </w:pPr>
      <w:r>
        <w:t xml:space="preserve">AMD Fiscal Q2 2026 Earnings Preview</w:t>
      </w:r>
    </w:p>
    <w:p>
      <w:pPr>
        <w:pStyle w:val="BlockText"/>
      </w:pPr>
      <w:r>
        <w:rPr>
          <w:b/>
          <w:bCs/>
        </w:rPr>
        <w:t xml:space="preserve">Timing note:</w:t>
      </w:r>
      <w:r>
        <w:t xml:space="preserve"> </w:t>
      </w:r>
      <w:r>
        <w:t xml:space="preserve">AMD is scheduled to report</w:t>
      </w:r>
      <w:r>
        <w:t xml:space="preserve"> </w:t>
      </w:r>
      <w:r>
        <w:rPr>
          <w:b/>
          <w:bCs/>
        </w:rPr>
        <w:t xml:space="preserve">today, Tuesday, August 4, 2026</w:t>
      </w:r>
      <w:r>
        <w:t xml:space="preserve">, after the market closes—not tomorrow. The earnings call begins at</w:t>
      </w:r>
      <w:r>
        <w:t xml:space="preserve"> </w:t>
      </w:r>
      <w:r>
        <w:rPr>
          <w:b/>
          <w:bCs/>
        </w:rPr>
        <w:t xml:space="preserve">5:00 p.m. ET / 2:00 p.m. PT</w:t>
      </w:r>
      <w:r>
        <w:t xml:space="preserve">.</w:t>
      </w:r>
    </w:p>
    <w:bookmarkStart w:id="9" w:name="investment-view-going-into-the-report"/>
    <w:p>
      <w:pPr>
        <w:pStyle w:val="Heading2"/>
      </w:pPr>
      <w:r>
        <w:t xml:space="preserve">Investment view going into the report</w:t>
      </w:r>
    </w:p>
    <w:p>
      <w:pPr>
        <w:pStyle w:val="FirstParagraph"/>
      </w:pPr>
      <w:r>
        <w:t xml:space="preserve">AMD’s second-quarter numbers matter, but the stock’s larger question is whether management can convert an increasingly impressive list of AI customers and commitments into a</w:t>
      </w:r>
      <w:r>
        <w:t xml:space="preserve"> </w:t>
      </w:r>
      <w:r>
        <w:rPr>
          <w:b/>
          <w:bCs/>
        </w:rPr>
        <w:t xml:space="preserve">timely, profitable, supply-supported revenue ramp</w:t>
      </w:r>
      <w:r>
        <w:t xml:space="preserve">.</w:t>
      </w:r>
    </w:p>
    <w:p>
      <w:pPr>
        <w:pStyle w:val="BodyText"/>
      </w:pPr>
      <w:r>
        <w:t xml:space="preserve">The central debate has shifted. Investors are no longer asking whether AMD can participate in AI infrastructure. Partnerships with Meta, OpenAI, Anthropic, Microsoft and others have largely answered that question. The focus is now on:</w:t>
      </w:r>
    </w:p>
    <w:p>
      <w:pPr>
        <w:pStyle w:val="Compact"/>
        <w:numPr>
          <w:ilvl w:val="0"/>
          <w:numId w:val="1001"/>
        </w:numPr>
      </w:pPr>
      <w:r>
        <w:rPr>
          <w:b/>
          <w:bCs/>
        </w:rPr>
        <w:t xml:space="preserve">How quickly Instinct and Helios revenue ramps in late 2026 and 2027.</w:t>
      </w:r>
    </w:p>
    <w:p>
      <w:pPr>
        <w:pStyle w:val="Compact"/>
        <w:numPr>
          <w:ilvl w:val="0"/>
          <w:numId w:val="1001"/>
        </w:numPr>
      </w:pPr>
      <w:r>
        <w:rPr>
          <w:b/>
          <w:bCs/>
        </w:rPr>
        <w:t xml:space="preserve">Whether EPYC’s exceptional growth is sustainable.</w:t>
      </w:r>
    </w:p>
    <w:p>
      <w:pPr>
        <w:pStyle w:val="Compact"/>
        <w:numPr>
          <w:ilvl w:val="0"/>
          <w:numId w:val="1001"/>
        </w:numPr>
      </w:pPr>
      <w:r>
        <w:rPr>
          <w:b/>
          <w:bCs/>
        </w:rPr>
        <w:t xml:space="preserve">How much gross-margin dilution accompanies the MI450/Helios ramp.</w:t>
      </w:r>
    </w:p>
    <w:p>
      <w:pPr>
        <w:pStyle w:val="Compact"/>
        <w:numPr>
          <w:ilvl w:val="0"/>
          <w:numId w:val="1001"/>
        </w:numPr>
      </w:pPr>
      <w:r>
        <w:rPr>
          <w:b/>
          <w:bCs/>
        </w:rPr>
        <w:t xml:space="preserve">What capital, financing and customer-concentration risks come with AMD’s large AI agreements.</w:t>
      </w:r>
    </w:p>
    <w:p>
      <w:pPr>
        <w:pStyle w:val="FirstParagraph"/>
      </w:pPr>
      <w:r>
        <w:t xml:space="preserve">A routine Q2 beat may not be enough. The most important information will be the</w:t>
      </w:r>
      <w:r>
        <w:t xml:space="preserve"> </w:t>
      </w:r>
      <w:r>
        <w:rPr>
          <w:b/>
          <w:bCs/>
        </w:rPr>
        <w:t xml:space="preserve">third-quarter outlook, fourth-quarter commentary and 2027 visibility</w:t>
      </w:r>
      <w:r>
        <w:t xml:space="preserve">.</w:t>
      </w:r>
    </w:p>
    <w:p>
      <w:r>
        <w:pict>
          <v:rect style="width:0;height:1.5pt" o:hralign="center" o:hrstd="t" o:hr="t"/>
        </w:pict>
      </w:r>
    </w:p>
    <w:bookmarkEnd w:id="9"/>
    <w:bookmarkStart w:id="11" w:name="the-official-q2-benchmark"/>
    <w:p>
      <w:pPr>
        <w:pStyle w:val="Heading2"/>
      </w:pPr>
      <w:r>
        <w:t xml:space="preserve">The official Q2 benchmark</w:t>
      </w:r>
    </w:p>
    <w:p>
      <w:pPr>
        <w:pStyle w:val="FirstParagraph"/>
      </w:pPr>
      <w:r>
        <w:t xml:space="preserve">AMD issued the following guidance in May: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guidance</w:t>
            </w:r>
          </w:p>
        </w:tc>
        <w:tc>
          <w:tcPr/>
          <w:p>
            <w:pPr>
              <w:pStyle w:val="Compact"/>
              <w:jc w:val="right"/>
            </w:pPr>
            <w:r>
              <w:t xml:space="preserve">Q1 2026 actual</w:t>
            </w:r>
          </w:p>
        </w:tc>
        <w:tc>
          <w:tcPr/>
          <w:p>
            <w:pPr>
              <w:pStyle w:val="Compact"/>
              <w:jc w:val="right"/>
            </w:pPr>
            <w:r>
              <w:t xml:space="preserve">Implied change</w:t>
            </w:r>
          </w:p>
        </w:tc>
      </w:tr>
      <w:tr>
        <w:tc>
          <w:tcPr/>
          <w:p>
            <w:pPr>
              <w:pStyle w:val="Compact"/>
            </w:pPr>
            <w:r>
              <w:t xml:space="preserve">Revenue</w:t>
            </w:r>
          </w:p>
        </w:tc>
        <w:tc>
          <w:tcPr/>
          <w:p>
            <w:pPr>
              <w:pStyle w:val="Compact"/>
              <w:jc w:val="right"/>
            </w:pPr>
            <w:r>
              <w:rPr>
                <w:b/>
                <w:bCs/>
              </w:rPr>
              <w:t xml:space="preserve">$11.2B ± $300M</w:t>
            </w:r>
          </w:p>
        </w:tc>
        <w:tc>
          <w:tcPr/>
          <w:p>
            <w:pPr>
              <w:pStyle w:val="Compact"/>
              <w:jc w:val="right"/>
            </w:pPr>
            <w:r>
              <w:t xml:space="preserve">$10.25B</w:t>
            </w:r>
          </w:p>
        </w:tc>
        <w:tc>
          <w:tcPr/>
          <w:p>
            <w:pPr>
              <w:pStyle w:val="Compact"/>
              <w:jc w:val="right"/>
            </w:pPr>
            <w:r>
              <w:t xml:space="preserve">Approximately</w:t>
            </w:r>
            <w:r>
              <w:t xml:space="preserve"> </w:t>
            </w:r>
            <w:r>
              <w:rPr>
                <w:b/>
                <w:bCs/>
              </w:rPr>
              <w:t xml:space="preserve">+9% QoQ</w:t>
            </w:r>
            <w:r>
              <w:t xml:space="preserve"> </w:t>
            </w:r>
            <w:r>
              <w:t xml:space="preserve">and</w:t>
            </w:r>
            <w:r>
              <w:t xml:space="preserve"> </w:t>
            </w:r>
            <w:r>
              <w:rPr>
                <w:b/>
                <w:bCs/>
              </w:rPr>
              <w:t xml:space="preserve">+46% YoY</w:t>
            </w:r>
            <w:r>
              <w:t xml:space="preserve"> </w:t>
            </w:r>
            <w:r>
              <w:t xml:space="preserve">at midpoint</w:t>
            </w:r>
          </w:p>
        </w:tc>
      </w:tr>
      <w:tr>
        <w:tc>
          <w:tcPr/>
          <w:p>
            <w:pPr>
              <w:pStyle w:val="Compact"/>
            </w:pPr>
            <w:r>
              <w:t xml:space="preserve">Non-GAAP gross margin</w:t>
            </w:r>
          </w:p>
        </w:tc>
        <w:tc>
          <w:tcPr/>
          <w:p>
            <w:pPr>
              <w:pStyle w:val="Compact"/>
              <w:jc w:val="right"/>
            </w:pPr>
            <w:r>
              <w:rPr>
                <w:b/>
                <w:bCs/>
              </w:rPr>
              <w:t xml:space="preserve">Approximately 56%</w:t>
            </w:r>
          </w:p>
        </w:tc>
        <w:tc>
          <w:tcPr/>
          <w:p>
            <w:pPr>
              <w:pStyle w:val="Compact"/>
              <w:jc w:val="right"/>
            </w:pPr>
            <w:r>
              <w:t xml:space="preserve">55%</w:t>
            </w:r>
          </w:p>
        </w:tc>
        <w:tc>
          <w:tcPr/>
          <w:p>
            <w:pPr>
              <w:pStyle w:val="Compact"/>
              <w:jc w:val="right"/>
            </w:pPr>
            <w:r>
              <w:t xml:space="preserve">Approximately</w:t>
            </w:r>
            <w:r>
              <w:t xml:space="preserve"> </w:t>
            </w:r>
            <w:r>
              <w:rPr>
                <w:b/>
                <w:bCs/>
              </w:rPr>
              <w:t xml:space="preserve">+1 point QoQ</w:t>
            </w:r>
          </w:p>
        </w:tc>
      </w:tr>
      <w:tr>
        <w:tc>
          <w:tcPr/>
          <w:p>
            <w:pPr>
              <w:pStyle w:val="Compact"/>
            </w:pPr>
            <w:r>
              <w:t xml:space="preserve">Non-GAAP operating expenses</w:t>
            </w:r>
          </w:p>
        </w:tc>
        <w:tc>
          <w:tcPr/>
          <w:p>
            <w:pPr>
              <w:pStyle w:val="Compact"/>
              <w:jc w:val="right"/>
            </w:pPr>
            <w:r>
              <w:rPr>
                <w:b/>
                <w:bCs/>
              </w:rPr>
              <w:t xml:space="preserve">Approximately $3.3B</w:t>
            </w:r>
          </w:p>
        </w:tc>
        <w:tc>
          <w:tcPr/>
          <w:p>
            <w:pPr>
              <w:pStyle w:val="Compact"/>
              <w:jc w:val="right"/>
            </w:pPr>
            <w:r>
              <w:t xml:space="preserve">$3.15B</w:t>
            </w:r>
          </w:p>
        </w:tc>
        <w:tc>
          <w:tcPr/>
          <w:p>
            <w:pPr>
              <w:pStyle w:val="Compact"/>
              <w:jc w:val="right"/>
            </w:pPr>
            <w:r>
              <w:t xml:space="preserve">Continued aggressive AI investment</w:t>
            </w:r>
          </w:p>
        </w:tc>
      </w:tr>
      <w:tr>
        <w:tc>
          <w:tcPr/>
          <w:p>
            <w:pPr>
              <w:pStyle w:val="Compact"/>
            </w:pPr>
            <w:r>
              <w:t xml:space="preserve">Non-GAAP other income</w:t>
            </w:r>
          </w:p>
        </w:tc>
        <w:tc>
          <w:tcPr/>
          <w:p>
            <w:pPr>
              <w:pStyle w:val="Compact"/>
              <w:jc w:val="right"/>
            </w:pPr>
            <w:r>
              <w:rPr>
                <w:b/>
                <w:bCs/>
              </w:rPr>
              <w:t xml:space="preserve">Approximately $60M gain</w:t>
            </w:r>
          </w:p>
        </w:tc>
        <w:tc>
          <w:tcPr/>
          <w:p>
            <w:pPr>
              <w:pStyle w:val="Compact"/>
              <w:jc w:val="right"/>
            </w:pPr>
            <w:r>
              <w:t xml:space="preserve">—</w:t>
            </w:r>
          </w:p>
        </w:tc>
        <w:tc>
          <w:tcPr/>
          <w:p>
            <w:pPr>
              <w:pStyle w:val="Compact"/>
              <w:jc w:val="right"/>
            </w:pPr>
            <w:r>
              <w:t xml:space="preserve">Positive</w:t>
            </w:r>
          </w:p>
        </w:tc>
      </w:tr>
      <w:tr>
        <w:tc>
          <w:tcPr/>
          <w:p>
            <w:pPr>
              <w:pStyle w:val="Compact"/>
            </w:pPr>
            <w:r>
              <w:t xml:space="preserve">Non-GAAP tax rate</w:t>
            </w:r>
          </w:p>
        </w:tc>
        <w:tc>
          <w:tcPr/>
          <w:p>
            <w:pPr>
              <w:pStyle w:val="Compact"/>
              <w:jc w:val="right"/>
            </w:pPr>
            <w:r>
              <w:rPr>
                <w:b/>
                <w:bCs/>
              </w:rPr>
              <w:t xml:space="preserve">13%</w:t>
            </w:r>
          </w:p>
        </w:tc>
        <w:tc>
          <w:tcPr/>
          <w:p>
            <w:pPr>
              <w:pStyle w:val="Compact"/>
              <w:jc w:val="right"/>
            </w:pPr>
            <w:r>
              <w:t xml:space="preserve">13% framework</w:t>
            </w:r>
          </w:p>
        </w:tc>
        <w:tc>
          <w:tcPr/>
          <w:p>
            <w:pPr>
              <w:pStyle w:val="Compact"/>
              <w:jc w:val="right"/>
            </w:pPr>
            <w:r>
              <w:t xml:space="preserve">Stable</w:t>
            </w:r>
          </w:p>
        </w:tc>
      </w:tr>
      <w:tr>
        <w:tc>
          <w:tcPr/>
          <w:p>
            <w:pPr>
              <w:pStyle w:val="Compact"/>
            </w:pPr>
            <w:r>
              <w:t xml:space="preserve">Diluted shares</w:t>
            </w:r>
          </w:p>
        </w:tc>
        <w:tc>
          <w:tcPr/>
          <w:p>
            <w:pPr>
              <w:pStyle w:val="Compact"/>
              <w:jc w:val="right"/>
            </w:pPr>
            <w:r>
              <w:rPr>
                <w:b/>
                <w:bCs/>
              </w:rPr>
              <w:t xml:space="preserve">Approximately 1.66B</w:t>
            </w:r>
          </w:p>
        </w:tc>
        <w:tc>
          <w:tcPr/>
          <w:p>
            <w:pPr>
              <w:pStyle w:val="Compact"/>
              <w:jc w:val="right"/>
            </w:pPr>
            <w:r>
              <w:t xml:space="preserve">1.65B</w:t>
            </w:r>
          </w:p>
        </w:tc>
        <w:tc>
          <w:tcPr/>
          <w:p>
            <w:pPr>
              <w:pStyle w:val="Compact"/>
              <w:jc w:val="right"/>
            </w:pPr>
            <w:r>
              <w:t xml:space="preserve">Slight dilution</w:t>
            </w:r>
          </w:p>
        </w:tc>
      </w:tr>
    </w:tbl>
    <w:p>
      <w:pPr>
        <w:pStyle w:val="BodyText"/>
      </w:pPr>
      <w:r>
        <w:t xml:space="preserve">Applying management’s assumptions mechanically implies roughly:</w:t>
      </w:r>
    </w:p>
    <w:p>
      <w:pPr>
        <w:pStyle w:val="Compact"/>
        <w:numPr>
          <w:ilvl w:val="0"/>
          <w:numId w:val="1002"/>
        </w:numPr>
      </w:pPr>
      <w:r>
        <w:rPr>
          <w:b/>
          <w:bCs/>
        </w:rPr>
        <w:t xml:space="preserve">$3.0 billion of non-GAAP operating income</w:t>
      </w:r>
    </w:p>
    <w:p>
      <w:pPr>
        <w:pStyle w:val="Compact"/>
        <w:numPr>
          <w:ilvl w:val="0"/>
          <w:numId w:val="1002"/>
        </w:numPr>
      </w:pPr>
      <w:r>
        <w:rPr>
          <w:b/>
          <w:bCs/>
        </w:rPr>
        <w:t xml:space="preserve">26.5% non-GAAP operating margin</w:t>
      </w:r>
    </w:p>
    <w:p>
      <w:pPr>
        <w:pStyle w:val="Compact"/>
        <w:numPr>
          <w:ilvl w:val="0"/>
          <w:numId w:val="1002"/>
        </w:numPr>
      </w:pPr>
      <w:r>
        <w:rPr>
          <w:b/>
          <w:bCs/>
        </w:rPr>
        <w:t xml:space="preserve">Approximately $1.59 of non-GAAP EPS</w:t>
      </w:r>
    </w:p>
    <w:p>
      <w:pPr>
        <w:pStyle w:val="FirstParagraph"/>
      </w:pPr>
      <w:r>
        <w:t xml:space="preserve">That EPS figure is an estimate derived from AMD’s guidance,</w:t>
      </w:r>
      <w:r>
        <w:t xml:space="preserve"> </w:t>
      </w:r>
      <w:r>
        <w:rPr>
          <w:b/>
          <w:bCs/>
        </w:rPr>
        <w:t xml:space="preserve">not an explicit company forecast or analyst consensus</w:t>
      </w:r>
      <w:r>
        <w:t xml:space="preserve">.</w:t>
      </w:r>
    </w:p>
    <w:bookmarkStart w:id="10" w:name="a-comparison-caveat"/>
    <w:p>
      <w:pPr>
        <w:pStyle w:val="Heading3"/>
      </w:pPr>
      <w:r>
        <w:t xml:space="preserve">A comparison caveat</w:t>
      </w:r>
    </w:p>
    <w:p>
      <w:pPr>
        <w:pStyle w:val="FirstParagraph"/>
      </w:pPr>
      <w:r>
        <w:t xml:space="preserve">Q2 2025 included approximately</w:t>
      </w:r>
      <w:r>
        <w:t xml:space="preserve"> </w:t>
      </w:r>
      <w:r>
        <w:rPr>
          <w:b/>
          <w:bCs/>
        </w:rPr>
        <w:t xml:space="preserve">$800 million of inventory and related charges</w:t>
      </w:r>
      <w:r>
        <w:t xml:space="preserve"> </w:t>
      </w:r>
      <w:r>
        <w:t xml:space="preserve">associated with U.S. restrictions on MI308 exports to China. Reported non-GAAP gross margin was only 43%, but AMD said it would have been approximately</w:t>
      </w:r>
      <w:r>
        <w:t xml:space="preserve"> </w:t>
      </w:r>
      <w:r>
        <w:rPr>
          <w:b/>
          <w:bCs/>
        </w:rPr>
        <w:t xml:space="preserve">54% excluding those charges</w:t>
      </w:r>
      <w:r>
        <w:t xml:space="preserve">.</w:t>
      </w:r>
    </w:p>
    <w:p>
      <w:pPr>
        <w:pStyle w:val="BodyText"/>
      </w:pPr>
      <w:r>
        <w:t xml:space="preserve">Consequently, year-over-year EPS and reported-margin comparisons will look unusually strong. Investors should focus on the underlying progression rather than the headline percentage increase.</w:t>
      </w:r>
    </w:p>
    <w:p>
      <w:r>
        <w:pict>
          <v:rect style="width:0;height:1.5pt" o:hralign="center" o:hrstd="t" o:hr="t"/>
        </w:pict>
      </w:r>
    </w:p>
    <w:bookmarkEnd w:id="10"/>
    <w:bookmarkEnd w:id="11"/>
    <w:bookmarkStart w:id="17" w:name="what-should-drive-q2"/>
    <w:p>
      <w:pPr>
        <w:pStyle w:val="Heading2"/>
      </w:pPr>
      <w:r>
        <w:t xml:space="preserve">What should drive Q2</w:t>
      </w:r>
    </w:p>
    <w:bookmarkStart w:id="12" w:name="Xdd88631d424bc0c0e551f4cfb7a1e215be04329"/>
    <w:p>
      <w:pPr>
        <w:pStyle w:val="Heading3"/>
      </w:pPr>
      <w:r>
        <w:t xml:space="preserve">1. EPYC is likely the quarter’s foundation</w:t>
      </w:r>
    </w:p>
    <w:p>
      <w:pPr>
        <w:pStyle w:val="FirstParagraph"/>
      </w:pPr>
      <w:r>
        <w:t xml:space="preserve">AMD said server CPU revenue should grow</w:t>
      </w:r>
      <w:r>
        <w:t xml:space="preserve"> </w:t>
      </w:r>
      <w:r>
        <w:rPr>
          <w:b/>
          <w:bCs/>
        </w:rPr>
        <w:t xml:space="preserve">more than 70% year over year in Q2</w:t>
      </w:r>
      <w:r>
        <w:t xml:space="preserve">, following growth of more than 50% in Q1. Management attributed that acceleration primarily to unit growth rather than pricing, with fifth-generation Turin processors ramping alongside continued Genoa demand.</w:t>
      </w:r>
    </w:p>
    <w:p>
      <w:pPr>
        <w:pStyle w:val="BodyText"/>
      </w:pPr>
      <w:r>
        <w:t xml:space="preserve">This may be the most important near-term source of upside because EPYC:</w:t>
      </w:r>
    </w:p>
    <w:p>
      <w:pPr>
        <w:pStyle w:val="Compact"/>
        <w:numPr>
          <w:ilvl w:val="0"/>
          <w:numId w:val="1003"/>
        </w:numPr>
      </w:pPr>
      <w:r>
        <w:t xml:space="preserve">Carries attractive margins.</w:t>
      </w:r>
    </w:p>
    <w:p>
      <w:pPr>
        <w:pStyle w:val="Compact"/>
        <w:numPr>
          <w:ilvl w:val="0"/>
          <w:numId w:val="1003"/>
        </w:numPr>
      </w:pPr>
      <w:r>
        <w:t xml:space="preserve">Is gaining share across cloud and enterprise customers.</w:t>
      </w:r>
    </w:p>
    <w:p>
      <w:pPr>
        <w:pStyle w:val="Compact"/>
        <w:numPr>
          <w:ilvl w:val="0"/>
          <w:numId w:val="1003"/>
        </w:numPr>
      </w:pPr>
      <w:r>
        <w:t xml:space="preserve">Benefits from additional CPU requirements around AI infrastructure.</w:t>
      </w:r>
    </w:p>
    <w:p>
      <w:pPr>
        <w:pStyle w:val="Compact"/>
        <w:numPr>
          <w:ilvl w:val="0"/>
          <w:numId w:val="1003"/>
        </w:numPr>
      </w:pPr>
      <w:r>
        <w:t xml:space="preserve">Can offset some of the margin pressure from the initial Instinct ramp.</w:t>
      </w:r>
    </w:p>
    <w:p>
      <w:pPr>
        <w:pStyle w:val="FirstParagraph"/>
      </w:pPr>
      <w:r>
        <w:t xml:space="preserve">At its July Advancing AI event, AMD said it had reached</w:t>
      </w:r>
      <w:r>
        <w:t xml:space="preserve"> </w:t>
      </w:r>
      <w:r>
        <w:rPr>
          <w:b/>
          <w:bCs/>
        </w:rPr>
        <w:t xml:space="preserve">46% server revenue share last quarter</w:t>
      </w:r>
      <w:r>
        <w:t xml:space="preserve"> </w:t>
      </w:r>
      <w:r>
        <w:t xml:space="preserve">and raised its estimate for the 2030 server CPU market to more than</w:t>
      </w:r>
      <w:r>
        <w:t xml:space="preserve"> </w:t>
      </w:r>
      <w:r>
        <w:rPr>
          <w:b/>
          <w:bCs/>
        </w:rPr>
        <w:t xml:space="preserve">$200 billion</w:t>
      </w:r>
      <w:r>
        <w:t xml:space="preserve">, citing agentic-AI workloads. That forecast is far above the $120 billion estimate AMD discussed on its May earnings call, illustrating how rapidly management’s expectations have increased.</w:t>
      </w:r>
    </w:p>
    <w:p>
      <w:pPr>
        <w:pStyle w:val="BodyText"/>
      </w:pPr>
      <w:r>
        <w:rPr>
          <w:b/>
          <w:bCs/>
        </w:rPr>
        <w:t xml:space="preserve">What investors need:</w:t>
      </w:r>
      <w:r>
        <w:t xml:space="preserve"> </w:t>
      </w:r>
      <w:r>
        <w:t xml:space="preserve">Evidence that the Q2 acceleration is based on durable deployments and share gains—not temporary supply tightness, pricing or customer inventory building.</w:t>
      </w:r>
    </w:p>
    <w:p>
      <w:r>
        <w:pict>
          <v:rect style="width:0;height:1.5pt" o:hralign="center" o:hrstd="t" o:hr="t"/>
        </w:pict>
      </w:r>
    </w:p>
    <w:bookmarkEnd w:id="12"/>
    <w:bookmarkStart w:id="13" w:name="X958996485c57fcb4fcab5bbaa407dc311ca17d0"/>
    <w:p>
      <w:pPr>
        <w:pStyle w:val="Heading3"/>
      </w:pPr>
      <w:r>
        <w:t xml:space="preserve">2. Instinct should grow, but the major inflection remains ahead</w:t>
      </w:r>
    </w:p>
    <w:p>
      <w:pPr>
        <w:pStyle w:val="FirstParagraph"/>
      </w:pPr>
      <w:r>
        <w:t xml:space="preserve">AMD expected Data Center AI revenue to increase by a double-digit percentage sequentially in Q2. However, the most important product ramp—MI450-based Helios—was not expected to become meaningful until later in the year.</w:t>
      </w:r>
    </w:p>
    <w:p>
      <w:pPr>
        <w:pStyle w:val="BodyText"/>
      </w:pPr>
      <w:r>
        <w:t xml:space="preserve">At the July event, AMD said:</w:t>
      </w:r>
    </w:p>
    <w:p>
      <w:pPr>
        <w:pStyle w:val="Compact"/>
        <w:numPr>
          <w:ilvl w:val="0"/>
          <w:numId w:val="1004"/>
        </w:numPr>
      </w:pPr>
      <w:r>
        <w:t xml:space="preserve">Helios is in full production.</w:t>
      </w:r>
    </w:p>
    <w:p>
      <w:pPr>
        <w:pStyle w:val="Compact"/>
        <w:numPr>
          <w:ilvl w:val="0"/>
          <w:numId w:val="1004"/>
        </w:numPr>
      </w:pPr>
      <w:r>
        <w:t xml:space="preserve">Shipments are expected to begin near the</w:t>
      </w:r>
      <w:r>
        <w:t xml:space="preserve"> </w:t>
      </w:r>
      <w:r>
        <w:rPr>
          <w:b/>
          <w:bCs/>
        </w:rPr>
        <w:t xml:space="preserve">end of Q3</w:t>
      </w:r>
      <w:r>
        <w:t xml:space="preserve">.</w:t>
      </w:r>
    </w:p>
    <w:p>
      <w:pPr>
        <w:pStyle w:val="Compact"/>
        <w:numPr>
          <w:ilvl w:val="0"/>
          <w:numId w:val="1004"/>
        </w:numPr>
      </w:pPr>
      <w:r>
        <w:t xml:space="preserve">The material ramp should occur in</w:t>
      </w:r>
      <w:r>
        <w:t xml:space="preserve"> </w:t>
      </w:r>
      <w:r>
        <w:rPr>
          <w:b/>
          <w:bCs/>
        </w:rPr>
        <w:t xml:space="preserve">Q4 and throughout 2027</w:t>
      </w:r>
      <w:r>
        <w:t xml:space="preserve">.</w:t>
      </w:r>
    </w:p>
    <w:p>
      <w:pPr>
        <w:pStyle w:val="Compact"/>
        <w:numPr>
          <w:ilvl w:val="0"/>
          <w:numId w:val="1004"/>
        </w:numPr>
      </w:pPr>
      <w:r>
        <w:t xml:space="preserve">OpenAI expects to deploy Helios at scale beginning late this year.</w:t>
      </w:r>
    </w:p>
    <w:p>
      <w:pPr>
        <w:pStyle w:val="Compact"/>
        <w:numPr>
          <w:ilvl w:val="0"/>
          <w:numId w:val="1004"/>
        </w:numPr>
      </w:pPr>
      <w:r>
        <w:t xml:space="preserve">Anthropic agreed to deploy up to</w:t>
      </w:r>
      <w:r>
        <w:t xml:space="preserve"> </w:t>
      </w:r>
      <w:r>
        <w:rPr>
          <w:b/>
          <w:bCs/>
        </w:rPr>
        <w:t xml:space="preserve">2 gigawatts</w:t>
      </w:r>
      <w:r>
        <w:t xml:space="preserve"> </w:t>
      </w:r>
      <w:r>
        <w:t xml:space="preserve">of AMD infrastructure.</w:t>
      </w:r>
    </w:p>
    <w:p>
      <w:pPr>
        <w:pStyle w:val="Compact"/>
        <w:numPr>
          <w:ilvl w:val="0"/>
          <w:numId w:val="1004"/>
        </w:numPr>
      </w:pPr>
      <w:r>
        <w:t xml:space="preserve">Meta and OpenAI have previously announced agreements covering up to</w:t>
      </w:r>
      <w:r>
        <w:t xml:space="preserve"> </w:t>
      </w:r>
      <w:r>
        <w:rPr>
          <w:b/>
          <w:bCs/>
        </w:rPr>
        <w:t xml:space="preserve">6 gigawatts each</w:t>
      </w:r>
      <w:r>
        <w:t xml:space="preserve"> </w:t>
      </w:r>
      <w:r>
        <w:t xml:space="preserve">over multiple generations.</w:t>
      </w:r>
    </w:p>
    <w:p>
      <w:pPr>
        <w:pStyle w:val="FirstParagraph"/>
      </w:pPr>
      <w:r>
        <w:t xml:space="preserve">This makes Q2 AI accelerator revenue less important than management’s commentary about:</w:t>
      </w:r>
    </w:p>
    <w:p>
      <w:pPr>
        <w:pStyle w:val="Compact"/>
        <w:numPr>
          <w:ilvl w:val="0"/>
          <w:numId w:val="1005"/>
        </w:numPr>
      </w:pPr>
      <w:r>
        <w:t xml:space="preserve">Customer qualification.</w:t>
      </w:r>
    </w:p>
    <w:p>
      <w:pPr>
        <w:pStyle w:val="Compact"/>
        <w:numPr>
          <w:ilvl w:val="0"/>
          <w:numId w:val="1005"/>
        </w:numPr>
      </w:pPr>
      <w:r>
        <w:t xml:space="preserve">Production readiness.</w:t>
      </w:r>
    </w:p>
    <w:p>
      <w:pPr>
        <w:pStyle w:val="Compact"/>
        <w:numPr>
          <w:ilvl w:val="0"/>
          <w:numId w:val="1005"/>
        </w:numPr>
      </w:pPr>
      <w:r>
        <w:t xml:space="preserve">Shipment timing.</w:t>
      </w:r>
    </w:p>
    <w:p>
      <w:pPr>
        <w:pStyle w:val="Compact"/>
        <w:numPr>
          <w:ilvl w:val="0"/>
          <w:numId w:val="1005"/>
        </w:numPr>
      </w:pPr>
      <w:r>
        <w:t xml:space="preserve">Installed data-center capacity.</w:t>
      </w:r>
    </w:p>
    <w:p>
      <w:pPr>
        <w:pStyle w:val="Compact"/>
        <w:numPr>
          <w:ilvl w:val="0"/>
          <w:numId w:val="1005"/>
        </w:numPr>
      </w:pPr>
      <w:r>
        <w:t xml:space="preserve">HBM, wafer, packaging and networking supply.</w:t>
      </w:r>
    </w:p>
    <w:p>
      <w:pPr>
        <w:pStyle w:val="Compact"/>
        <w:numPr>
          <w:ilvl w:val="0"/>
          <w:numId w:val="1005"/>
        </w:numPr>
      </w:pPr>
      <w:r>
        <w:t xml:space="preserve">Revenue conversion from the announced gigawatt commitments.</w:t>
      </w:r>
    </w:p>
    <w:p>
      <w:pPr>
        <w:pStyle w:val="FirstParagraph"/>
      </w:pPr>
      <w:r>
        <w:t xml:space="preserve">The cleanest positive signal would be a firmer statement that the Q4 ramp is intact—or accelerating—without sacrificing too much margin.</w:t>
      </w:r>
    </w:p>
    <w:p>
      <w:r>
        <w:pict>
          <v:rect style="width:0;height:1.5pt" o:hralign="center" o:hrstd="t" o:hr="t"/>
        </w:pict>
      </w:r>
    </w:p>
    <w:bookmarkEnd w:id="13"/>
    <w:bookmarkStart w:id="14" w:name="Xb6bc35f628eebf1b894b7141f1a33058666cb98"/>
    <w:p>
      <w:pPr>
        <w:pStyle w:val="Heading3"/>
      </w:pPr>
      <w:r>
        <w:t xml:space="preserve">3. Client should remain healthy, but second-half caution matters</w:t>
      </w:r>
    </w:p>
    <w:p>
      <w:pPr>
        <w:pStyle w:val="FirstParagraph"/>
      </w:pPr>
      <w:r>
        <w:t xml:space="preserve">Q1 client revenue increased 26% year over year to $2.9 billion, supported by Ryzen demand, a richer mix and commercial PC share gains. AMD expected solid Q2 demand and modest sequential growth for the combined Client and Gaming segment.</w:t>
      </w:r>
    </w:p>
    <w:p>
      <w:pPr>
        <w:pStyle w:val="BodyText"/>
      </w:pPr>
      <w:r>
        <w:t xml:space="preserve">The risk lies in the second half. Management previously warned that higher memory and component costs could weaken PC demand, particularly in more consumer-sensitive categories.</w:t>
      </w:r>
    </w:p>
    <w:p>
      <w:pPr>
        <w:pStyle w:val="BodyText"/>
      </w:pPr>
      <w:r>
        <w:t xml:space="preserve">Key items to watch:</w:t>
      </w:r>
    </w:p>
    <w:p>
      <w:pPr>
        <w:pStyle w:val="Compact"/>
        <w:numPr>
          <w:ilvl w:val="0"/>
          <w:numId w:val="1006"/>
        </w:numPr>
      </w:pPr>
      <w:r>
        <w:t xml:space="preserve">Commercial Ryzen adoption at Dell, HP and Lenovo.</w:t>
      </w:r>
    </w:p>
    <w:p>
      <w:pPr>
        <w:pStyle w:val="Compact"/>
        <w:numPr>
          <w:ilvl w:val="0"/>
          <w:numId w:val="1006"/>
        </w:numPr>
      </w:pPr>
      <w:r>
        <w:t xml:space="preserve">Whether premium and AI-PC mix continues to support ASPs.</w:t>
      </w:r>
    </w:p>
    <w:p>
      <w:pPr>
        <w:pStyle w:val="Compact"/>
        <w:numPr>
          <w:ilvl w:val="0"/>
          <w:numId w:val="1006"/>
        </w:numPr>
      </w:pPr>
      <w:r>
        <w:t xml:space="preserve">Changes to AMD’s full-year client-growth expectations.</w:t>
      </w:r>
    </w:p>
    <w:p>
      <w:pPr>
        <w:pStyle w:val="Compact"/>
        <w:numPr>
          <w:ilvl w:val="0"/>
          <w:numId w:val="1006"/>
        </w:numPr>
      </w:pPr>
      <w:r>
        <w:t xml:space="preserve">Whether memory inflation is affecting end demand more than anticipated.</w:t>
      </w:r>
    </w:p>
    <w:p>
      <w:pPr>
        <w:pStyle w:val="FirstParagraph"/>
      </w:pPr>
      <w:r>
        <w:t xml:space="preserve">Client is unlikely to determine the stock’s immediate direction unless management materially changes its second-half forecast.</w:t>
      </w:r>
    </w:p>
    <w:p>
      <w:r>
        <w:pict>
          <v:rect style="width:0;height:1.5pt" o:hralign="center" o:hrstd="t" o:hr="t"/>
        </w:pict>
      </w:r>
    </w:p>
    <w:bookmarkEnd w:id="14"/>
    <w:bookmarkStart w:id="15" w:name="X85f7d2be0c615048e426bdb24f6a70bf8f1b402"/>
    <w:p>
      <w:pPr>
        <w:pStyle w:val="Heading3"/>
      </w:pPr>
      <w:r>
        <w:t xml:space="preserve">4. Gaming will probably become a larger headwind</w:t>
      </w:r>
    </w:p>
    <w:p>
      <w:pPr>
        <w:pStyle w:val="FirstParagraph"/>
      </w:pPr>
      <w:r>
        <w:t xml:space="preserve">AMD said second-half Gaming revenue could decline</w:t>
      </w:r>
      <w:r>
        <w:t xml:space="preserve"> </w:t>
      </w:r>
      <w:r>
        <w:rPr>
          <w:b/>
          <w:bCs/>
        </w:rPr>
        <w:t xml:space="preserve">more than 20% versus the first half</w:t>
      </w:r>
      <w:r>
        <w:t xml:space="preserve">, reflecting:</w:t>
      </w:r>
    </w:p>
    <w:p>
      <w:pPr>
        <w:pStyle w:val="Compact"/>
        <w:numPr>
          <w:ilvl w:val="0"/>
          <w:numId w:val="1007"/>
        </w:numPr>
      </w:pPr>
      <w:r>
        <w:t xml:space="preserve">The aging console cycle.</w:t>
      </w:r>
    </w:p>
    <w:p>
      <w:pPr>
        <w:pStyle w:val="Compact"/>
        <w:numPr>
          <w:ilvl w:val="0"/>
          <w:numId w:val="1007"/>
        </w:numPr>
      </w:pPr>
      <w:r>
        <w:t xml:space="preserve">Lower semi-custom revenue.</w:t>
      </w:r>
    </w:p>
    <w:p>
      <w:pPr>
        <w:pStyle w:val="Compact"/>
        <w:numPr>
          <w:ilvl w:val="0"/>
          <w:numId w:val="1007"/>
        </w:numPr>
      </w:pPr>
      <w:r>
        <w:t xml:space="preserve">Higher memory and component costs.</w:t>
      </w:r>
    </w:p>
    <w:p>
      <w:pPr>
        <w:pStyle w:val="Compact"/>
        <w:numPr>
          <w:ilvl w:val="0"/>
          <w:numId w:val="1007"/>
        </w:numPr>
      </w:pPr>
      <w:r>
        <w:t xml:space="preserve">Potential pressure on consumer GPU demand.</w:t>
      </w:r>
    </w:p>
    <w:p>
      <w:pPr>
        <w:pStyle w:val="FirstParagraph"/>
      </w:pPr>
      <w:r>
        <w:t xml:space="preserve">Radeon growth can soften the decline, but investors should not expect Gaming to contribute meaningfully to AMD’s near-term growth narrative. A worse-than-expected console outlook would place more pressure on Data Center to carry the company.</w:t>
      </w:r>
    </w:p>
    <w:p>
      <w:r>
        <w:pict>
          <v:rect style="width:0;height:1.5pt" o:hralign="center" o:hrstd="t" o:hr="t"/>
        </w:pict>
      </w:r>
    </w:p>
    <w:bookmarkEnd w:id="15"/>
    <w:bookmarkStart w:id="16" w:name="X6c33ecac0ce6c6e09400fe2bd4f46cef92735fd"/>
    <w:p>
      <w:pPr>
        <w:pStyle w:val="Heading3"/>
      </w:pPr>
      <w:r>
        <w:t xml:space="preserve">5. Embedded should continue its gradual recovery</w:t>
      </w:r>
    </w:p>
    <w:p>
      <w:pPr>
        <w:pStyle w:val="FirstParagraph"/>
      </w:pPr>
      <w:r>
        <w:t xml:space="preserve">Embedded revenue increased 6% year over year in Q1 to $873 million. AMD expected double-digit year-over-year and sequential growth in Q2.</w:t>
      </w:r>
    </w:p>
    <w:p>
      <w:pPr>
        <w:pStyle w:val="BodyText"/>
      </w:pPr>
      <w:r>
        <w:t xml:space="preserve">This business remains relevant because its relatively high segment margins can help the corporate mix. Investors should look for:</w:t>
      </w:r>
    </w:p>
    <w:p>
      <w:pPr>
        <w:pStyle w:val="Compact"/>
        <w:numPr>
          <w:ilvl w:val="0"/>
          <w:numId w:val="1008"/>
        </w:numPr>
      </w:pPr>
      <w:r>
        <w:t xml:space="preserve">A continued inventory normalization.</w:t>
      </w:r>
    </w:p>
    <w:p>
      <w:pPr>
        <w:pStyle w:val="Compact"/>
        <w:numPr>
          <w:ilvl w:val="0"/>
          <w:numId w:val="1008"/>
        </w:numPr>
      </w:pPr>
      <w:r>
        <w:t xml:space="preserve">Broadening demand across industrial, aerospace, defense and communications.</w:t>
      </w:r>
    </w:p>
    <w:p>
      <w:pPr>
        <w:pStyle w:val="Compact"/>
        <w:numPr>
          <w:ilvl w:val="0"/>
          <w:numId w:val="1008"/>
        </w:numPr>
      </w:pPr>
      <w:r>
        <w:t xml:space="preserve">Conversion of design wins into revenue.</w:t>
      </w:r>
    </w:p>
    <w:p>
      <w:pPr>
        <w:pStyle w:val="Compact"/>
        <w:numPr>
          <w:ilvl w:val="0"/>
          <w:numId w:val="1008"/>
        </w:numPr>
      </w:pPr>
      <w:r>
        <w:t xml:space="preserve">Confirmation that the recovery is broad rather than customer-specific.</w:t>
      </w:r>
    </w:p>
    <w:p>
      <w:r>
        <w:pict>
          <v:rect style="width:0;height:1.5pt" o:hralign="center" o:hrstd="t" o:hr="t"/>
        </w:pict>
      </w:r>
    </w:p>
    <w:bookmarkEnd w:id="16"/>
    <w:bookmarkEnd w:id="17"/>
    <w:bookmarkStart w:id="20" w:name="Xbfee2880f65adf275f5e2bc2d6ad030ab42d90b"/>
    <w:p>
      <w:pPr>
        <w:pStyle w:val="Heading2"/>
      </w:pPr>
      <w:r>
        <w:t xml:space="preserve">The most important part of the release: Q3 and Q4 guidance</w:t>
      </w:r>
    </w:p>
    <w:p>
      <w:pPr>
        <w:pStyle w:val="FirstParagraph"/>
      </w:pPr>
      <w:r>
        <w:t xml:space="preserve">Q3 represents the bridge between AMD’s current business and the expected Helios-led inflection. A constructive outlook should contain several elements:</w:t>
      </w:r>
    </w:p>
    <w:bookmarkStart w:id="18" w:name="signs-of-a-strong-guide"/>
    <w:p>
      <w:pPr>
        <w:pStyle w:val="Heading3"/>
      </w:pPr>
      <w:r>
        <w:t xml:space="preserve">Signs of a strong guide</w:t>
      </w:r>
    </w:p>
    <w:p>
      <w:pPr>
        <w:pStyle w:val="Compact"/>
        <w:numPr>
          <w:ilvl w:val="0"/>
          <w:numId w:val="1009"/>
        </w:numPr>
      </w:pPr>
      <w:r>
        <w:t xml:space="preserve">Continued robust EPYC growth.</w:t>
      </w:r>
    </w:p>
    <w:p>
      <w:pPr>
        <w:pStyle w:val="Compact"/>
        <w:numPr>
          <w:ilvl w:val="0"/>
          <w:numId w:val="1009"/>
        </w:numPr>
      </w:pPr>
      <w:r>
        <w:t xml:space="preserve">Initial Helios shipments commencing by the end of Q3.</w:t>
      </w:r>
    </w:p>
    <w:p>
      <w:pPr>
        <w:pStyle w:val="Compact"/>
        <w:numPr>
          <w:ilvl w:val="0"/>
          <w:numId w:val="1009"/>
        </w:numPr>
      </w:pPr>
      <w:r>
        <w:t xml:space="preserve">Confidence in a substantial Q4 accelerator ramp.</w:t>
      </w:r>
    </w:p>
    <w:p>
      <w:pPr>
        <w:pStyle w:val="Compact"/>
        <w:numPr>
          <w:ilvl w:val="0"/>
          <w:numId w:val="1009"/>
        </w:numPr>
      </w:pPr>
      <w:r>
        <w:t xml:space="preserve">Venice server CPU availability and broad customer launches in Q4.</w:t>
      </w:r>
    </w:p>
    <w:p>
      <w:pPr>
        <w:pStyle w:val="Compact"/>
        <w:numPr>
          <w:ilvl w:val="0"/>
          <w:numId w:val="1009"/>
        </w:numPr>
      </w:pPr>
      <w:r>
        <w:t xml:space="preserve">Gross margin remaining resilient despite the initial MI450 mix.</w:t>
      </w:r>
    </w:p>
    <w:p>
      <w:pPr>
        <w:pStyle w:val="Compact"/>
        <w:numPr>
          <w:ilvl w:val="0"/>
          <w:numId w:val="1009"/>
        </w:numPr>
      </w:pPr>
      <w:r>
        <w:t xml:space="preserve">Supply secured for customer forecasts—not merely AMD’s internal base plan.</w:t>
      </w:r>
    </w:p>
    <w:bookmarkEnd w:id="18"/>
    <w:bookmarkStart w:id="19" w:name="potential-disappointments"/>
    <w:p>
      <w:pPr>
        <w:pStyle w:val="Heading3"/>
      </w:pPr>
      <w:r>
        <w:t xml:space="preserve">Potential disappointments</w:t>
      </w:r>
    </w:p>
    <w:p>
      <w:pPr>
        <w:pStyle w:val="Compact"/>
        <w:numPr>
          <w:ilvl w:val="0"/>
          <w:numId w:val="1010"/>
        </w:numPr>
      </w:pPr>
      <w:r>
        <w:t xml:space="preserve">Helios revenue slipping predominantly into 2027.</w:t>
      </w:r>
    </w:p>
    <w:p>
      <w:pPr>
        <w:pStyle w:val="Compact"/>
        <w:numPr>
          <w:ilvl w:val="0"/>
          <w:numId w:val="1010"/>
        </w:numPr>
      </w:pPr>
      <w:r>
        <w:t xml:space="preserve">Qualification or software-readiness delays.</w:t>
      </w:r>
    </w:p>
    <w:p>
      <w:pPr>
        <w:pStyle w:val="Compact"/>
        <w:numPr>
          <w:ilvl w:val="0"/>
          <w:numId w:val="1010"/>
        </w:numPr>
      </w:pPr>
      <w:r>
        <w:t xml:space="preserve">HBM, advanced-packaging, networking or power constraints.</w:t>
      </w:r>
    </w:p>
    <w:p>
      <w:pPr>
        <w:pStyle w:val="Compact"/>
        <w:numPr>
          <w:ilvl w:val="0"/>
          <w:numId w:val="1010"/>
        </w:numPr>
      </w:pPr>
      <w:r>
        <w:t xml:space="preserve">A greater-than-expected PC and Gaming correction.</w:t>
      </w:r>
    </w:p>
    <w:p>
      <w:pPr>
        <w:pStyle w:val="Compact"/>
        <w:numPr>
          <w:ilvl w:val="0"/>
          <w:numId w:val="1010"/>
        </w:numPr>
      </w:pPr>
      <w:r>
        <w:t xml:space="preserve">Gross-margin guidance falling because of accelerator mix and launch costs.</w:t>
      </w:r>
    </w:p>
    <w:p>
      <w:pPr>
        <w:pStyle w:val="Compact"/>
        <w:numPr>
          <w:ilvl w:val="0"/>
          <w:numId w:val="1010"/>
        </w:numPr>
      </w:pPr>
      <w:r>
        <w:t xml:space="preserve">Rapid expense growth consuming most of the operating leverage.</w:t>
      </w:r>
    </w:p>
    <w:p>
      <w:r>
        <w:pict>
          <v:rect style="width:0;height:1.5pt" o:hralign="center" o:hrstd="t" o:hr="t"/>
        </w:pict>
      </w:r>
    </w:p>
    <w:bookmarkEnd w:id="19"/>
    <w:bookmarkEnd w:id="20"/>
    <w:bookmarkStart w:id="21" w:name="X17cfdefc56cdc0e234f9fc7527fd9f8d59f09ca"/>
    <w:p>
      <w:pPr>
        <w:pStyle w:val="Heading2"/>
      </w:pPr>
      <w:r>
        <w:t xml:space="preserve">Gross margin is the key financial tension</w:t>
      </w:r>
    </w:p>
    <w:p>
      <w:pPr>
        <w:pStyle w:val="FirstParagraph"/>
      </w:pPr>
      <w:r>
        <w:t xml:space="preserve">AMD guided Q2 non-GAAP gross margin to approximately 56%, up from 55% in Q1. The mix currently benefits from:</w:t>
      </w:r>
    </w:p>
    <w:p>
      <w:pPr>
        <w:pStyle w:val="Compact"/>
        <w:numPr>
          <w:ilvl w:val="0"/>
          <w:numId w:val="1011"/>
        </w:numPr>
      </w:pPr>
      <w:r>
        <w:t xml:space="preserve">Strong EPYC growth.</w:t>
      </w:r>
    </w:p>
    <w:p>
      <w:pPr>
        <w:pStyle w:val="Compact"/>
        <w:numPr>
          <w:ilvl w:val="0"/>
          <w:numId w:val="1011"/>
        </w:numPr>
      </w:pPr>
      <w:r>
        <w:t xml:space="preserve">Higher-end client products.</w:t>
      </w:r>
    </w:p>
    <w:p>
      <w:pPr>
        <w:pStyle w:val="Compact"/>
        <w:numPr>
          <w:ilvl w:val="0"/>
          <w:numId w:val="1011"/>
        </w:numPr>
      </w:pPr>
      <w:r>
        <w:t xml:space="preserve">Recovering Embedded revenue.</w:t>
      </w:r>
    </w:p>
    <w:p>
      <w:pPr>
        <w:pStyle w:val="Compact"/>
        <w:numPr>
          <w:ilvl w:val="0"/>
          <w:numId w:val="1011"/>
        </w:numPr>
      </w:pPr>
      <w:r>
        <w:t xml:space="preserve">Reduced Gaming contribution.</w:t>
      </w:r>
    </w:p>
    <w:p>
      <w:pPr>
        <w:pStyle w:val="FirstParagraph"/>
      </w:pPr>
      <w:r>
        <w:t xml:space="preserve">The complication is MI450. AMD has said the initial MI450 ramp will be</w:t>
      </w:r>
      <w:r>
        <w:t xml:space="preserve"> </w:t>
      </w:r>
      <w:r>
        <w:rPr>
          <w:b/>
          <w:bCs/>
        </w:rPr>
        <w:t xml:space="preserve">below the corporate average gross margin</w:t>
      </w:r>
      <w:r>
        <w:t xml:space="preserve">. Management expects EPYC, Client mix and Embedded to offset part of that dilution.</w:t>
      </w:r>
    </w:p>
    <w:p>
      <w:pPr>
        <w:pStyle w:val="BodyText"/>
      </w:pPr>
      <w:r>
        <w:t xml:space="preserve">The best outcome would be:</w:t>
      </w:r>
    </w:p>
    <w:p>
      <w:pPr>
        <w:pStyle w:val="Compact"/>
        <w:numPr>
          <w:ilvl w:val="0"/>
          <w:numId w:val="1012"/>
        </w:numPr>
      </w:pPr>
      <w:r>
        <w:t xml:space="preserve">Q2 margin at or above 56%.</w:t>
      </w:r>
    </w:p>
    <w:p>
      <w:pPr>
        <w:pStyle w:val="Compact"/>
        <w:numPr>
          <w:ilvl w:val="0"/>
          <w:numId w:val="1012"/>
        </w:numPr>
      </w:pPr>
      <w:r>
        <w:t xml:space="preserve">Q3 margin holding near that level.</w:t>
      </w:r>
    </w:p>
    <w:p>
      <w:pPr>
        <w:pStyle w:val="Compact"/>
        <w:numPr>
          <w:ilvl w:val="0"/>
          <w:numId w:val="1012"/>
        </w:numPr>
      </w:pPr>
      <w:r>
        <w:t xml:space="preserve">A Q4 decline that is modest despite a significant Helios ramp.</w:t>
      </w:r>
    </w:p>
    <w:p>
      <w:pPr>
        <w:pStyle w:val="Compact"/>
        <w:numPr>
          <w:ilvl w:val="0"/>
          <w:numId w:val="1012"/>
        </w:numPr>
      </w:pPr>
      <w:r>
        <w:t xml:space="preserve">Confidence that Instinct margins improve with scale, cost reductions and customer diversification.</w:t>
      </w:r>
    </w:p>
    <w:p>
      <w:pPr>
        <w:pStyle w:val="FirstParagraph"/>
      </w:pPr>
      <w:r>
        <w:t xml:space="preserve">If AI revenue rises rapidly but corporate margins decline substantially, investors may question how much of the economic value AMD is retaining.</w:t>
      </w:r>
    </w:p>
    <w:p>
      <w:r>
        <w:pict>
          <v:rect style="width:0;height:1.5pt" o:hralign="center" o:hrstd="t" o:hr="t"/>
        </w:pict>
      </w:r>
    </w:p>
    <w:bookmarkEnd w:id="21"/>
    <w:bookmarkStart w:id="24" w:name="X6067df7b39f5564402afa37c0233e93a10fbf10"/>
    <w:p>
      <w:pPr>
        <w:pStyle w:val="Heading2"/>
      </w:pPr>
      <w:r>
        <w:t xml:space="preserve">New AI agreements: major validation, but not without risk</w:t>
      </w:r>
    </w:p>
    <w:bookmarkStart w:id="22" w:name="anthropic"/>
    <w:p>
      <w:pPr>
        <w:pStyle w:val="Heading3"/>
      </w:pPr>
      <w:r>
        <w:t xml:space="preserve">Anthropic</w:t>
      </w:r>
    </w:p>
    <w:p>
      <w:pPr>
        <w:pStyle w:val="FirstParagraph"/>
      </w:pPr>
      <w:r>
        <w:t xml:space="preserve">AMD’s agreement with Anthropic is strategically significant: up to 2 gigawatts of next-generation infrastructure, with deliveries expected to begin in the first half of 2027. AMD also agreed to invest up to</w:t>
      </w:r>
      <w:r>
        <w:t xml:space="preserve"> </w:t>
      </w:r>
      <w:r>
        <w:rPr>
          <w:b/>
          <w:bCs/>
        </w:rPr>
        <w:t xml:space="preserve">$5 billion</w:t>
      </w:r>
      <w:r>
        <w:t xml:space="preserve"> </w:t>
      </w:r>
      <w:r>
        <w:t xml:space="preserve">in Anthropic as milestones are met and has reportedly discussed support for data-center lease commitments.</w:t>
      </w:r>
    </w:p>
    <w:p>
      <w:pPr>
        <w:pStyle w:val="BodyText"/>
      </w:pPr>
      <w:r>
        <w:t xml:space="preserve">Investors should ask:</w:t>
      </w:r>
    </w:p>
    <w:p>
      <w:pPr>
        <w:pStyle w:val="Compact"/>
        <w:numPr>
          <w:ilvl w:val="0"/>
          <w:numId w:val="1013"/>
        </w:numPr>
      </w:pPr>
      <w:r>
        <w:t xml:space="preserve">How much of the chip demand is contractually committed?</w:t>
      </w:r>
    </w:p>
    <w:p>
      <w:pPr>
        <w:pStyle w:val="Compact"/>
        <w:numPr>
          <w:ilvl w:val="0"/>
          <w:numId w:val="1013"/>
        </w:numPr>
      </w:pPr>
      <w:r>
        <w:t xml:space="preserve">When does revenue recognition begin?</w:t>
      </w:r>
    </w:p>
    <w:p>
      <w:pPr>
        <w:pStyle w:val="Compact"/>
        <w:numPr>
          <w:ilvl w:val="0"/>
          <w:numId w:val="1013"/>
        </w:numPr>
      </w:pPr>
      <w:r>
        <w:t xml:space="preserve">What returns does AMD expect on its investment?</w:t>
      </w:r>
    </w:p>
    <w:p>
      <w:pPr>
        <w:pStyle w:val="Compact"/>
        <w:numPr>
          <w:ilvl w:val="0"/>
          <w:numId w:val="1013"/>
        </w:numPr>
      </w:pPr>
      <w:r>
        <w:t xml:space="preserve">Will AMD provide additional financing or lease guarantees?</w:t>
      </w:r>
    </w:p>
    <w:p>
      <w:pPr>
        <w:pStyle w:val="Compact"/>
        <w:numPr>
          <w:ilvl w:val="0"/>
          <w:numId w:val="1013"/>
        </w:numPr>
      </w:pPr>
      <w:r>
        <w:t xml:space="preserve">How should investors separate genuine external demand from demand supported by AMD capital?</w:t>
      </w:r>
    </w:p>
    <w:p>
      <w:pPr>
        <w:pStyle w:val="FirstParagraph"/>
      </w:pPr>
      <w:r>
        <w:t xml:space="preserve">The deal is a powerful endorsement of AMD’s platform, but it introduces capital-allocation, counterparty and “circular financing” concerns.</w:t>
      </w:r>
    </w:p>
    <w:bookmarkEnd w:id="22"/>
    <w:bookmarkStart w:id="23" w:name="core-scientific"/>
    <w:p>
      <w:pPr>
        <w:pStyle w:val="Heading3"/>
      </w:pPr>
      <w:r>
        <w:t xml:space="preserve">Core Scientific</w:t>
      </w:r>
    </w:p>
    <w:p>
      <w:pPr>
        <w:pStyle w:val="FirstParagraph"/>
      </w:pPr>
      <w:r>
        <w:t xml:space="preserve">AMD’s arrangement with Core Scientific secures more than 500 megawatts of data-center capacity beginning in 2027, potentially expandable to 2.5 gigawatts. The reported $14 billion figure refers to potential contracted revenue for Core Scientific—not direct AMD revenue.</w:t>
      </w:r>
    </w:p>
    <w:p>
      <w:pPr>
        <w:pStyle w:val="BodyText"/>
      </w:pPr>
      <w:r>
        <w:t xml:space="preserve">For AMD, the agreement demonstrates that delivering AI systems increasingly requires coordination across silicon, racks, software, power and real estate. It also highlights how capital-intensive the competition with Nvidia is becoming.</w:t>
      </w:r>
    </w:p>
    <w:p>
      <w:r>
        <w:pict>
          <v:rect style="width:0;height:1.5pt" o:hralign="center" o:hrstd="t" o:hr="t"/>
        </w:pict>
      </w:r>
    </w:p>
    <w:bookmarkEnd w:id="23"/>
    <w:bookmarkEnd w:id="24"/>
    <w:bookmarkStart w:id="25" w:name="software-remains-the-swing-factor"/>
    <w:p>
      <w:pPr>
        <w:pStyle w:val="Heading2"/>
      </w:pPr>
      <w:r>
        <w:t xml:space="preserve">Software remains the swing factor</w:t>
      </w:r>
    </w:p>
    <w:p>
      <w:pPr>
        <w:pStyle w:val="FirstParagraph"/>
      </w:pPr>
      <w:r>
        <w:t xml:space="preserve">AMD used its July event to introduce</w:t>
      </w:r>
      <w:r>
        <w:t xml:space="preserve"> </w:t>
      </w:r>
      <w:r>
        <w:rPr>
          <w:rStyle w:val="VerbatimChar"/>
        </w:rPr>
        <w:t xml:space="preserve">rocm.ai</w:t>
      </w:r>
      <w:r>
        <w:t xml:space="preserve">, an AI-assisted development and optimization platform intended to make AMD GPUs easier to deploy and tune. Management presented substantial performance improvements from AI-generated kernel and workload optimization.</w:t>
      </w:r>
    </w:p>
    <w:p>
      <w:pPr>
        <w:pStyle w:val="BodyText"/>
      </w:pPr>
      <w:r>
        <w:t xml:space="preserve">The software discussion should be evaluated through customer evidence rather than benchmark claims alone:</w:t>
      </w:r>
    </w:p>
    <w:p>
      <w:pPr>
        <w:pStyle w:val="Compact"/>
        <w:numPr>
          <w:ilvl w:val="0"/>
          <w:numId w:val="1014"/>
        </w:numPr>
      </w:pPr>
      <w:r>
        <w:t xml:space="preserve">Are customers moving from pilots to production?</w:t>
      </w:r>
    </w:p>
    <w:p>
      <w:pPr>
        <w:pStyle w:val="Compact"/>
        <w:numPr>
          <w:ilvl w:val="0"/>
          <w:numId w:val="1014"/>
        </w:numPr>
      </w:pPr>
      <w:r>
        <w:t xml:space="preserve">How much engineering support does each deployment require?</w:t>
      </w:r>
    </w:p>
    <w:p>
      <w:pPr>
        <w:pStyle w:val="Compact"/>
        <w:numPr>
          <w:ilvl w:val="0"/>
          <w:numId w:val="1014"/>
        </w:numPr>
      </w:pPr>
      <w:r>
        <w:t xml:space="preserve">Can new models run efficiently on AMD hardware at launch?</w:t>
      </w:r>
    </w:p>
    <w:p>
      <w:pPr>
        <w:pStyle w:val="Compact"/>
        <w:numPr>
          <w:ilvl w:val="0"/>
          <w:numId w:val="1014"/>
        </w:numPr>
      </w:pPr>
      <w:r>
        <w:t xml:space="preserve">Is ROCm becoming a default platform in frameworks and inference engines?</w:t>
      </w:r>
    </w:p>
    <w:p>
      <w:pPr>
        <w:pStyle w:val="Compact"/>
        <w:numPr>
          <w:ilvl w:val="0"/>
          <w:numId w:val="1014"/>
        </w:numPr>
      </w:pPr>
      <w:r>
        <w:t xml:space="preserve">Are customers using Instinct for both training and inference?</w:t>
      </w:r>
    </w:p>
    <w:p>
      <w:pPr>
        <w:pStyle w:val="FirstParagraph"/>
      </w:pPr>
      <w:r>
        <w:t xml:space="preserve">Hardware availability creates the opportunity. Software determines whether AMD can broaden beyond a small number of deeply supported hyperscale customers.</w:t>
      </w:r>
    </w:p>
    <w:p>
      <w:r>
        <w:pict>
          <v:rect style="width:0;height:1.5pt" o:hralign="center" o:hrstd="t" o:hr="t"/>
        </w:pict>
      </w:r>
    </w:p>
    <w:bookmarkEnd w:id="25"/>
    <w:bookmarkStart w:id="26" w:name="expectations-embedded-in-the-stock"/>
    <w:p>
      <w:pPr>
        <w:pStyle w:val="Heading2"/>
      </w:pPr>
      <w:r>
        <w:t xml:space="preserve">Expectations embedded in the stock</w:t>
      </w:r>
    </w:p>
    <w:p>
      <w:pPr>
        <w:pStyle w:val="FirstParagraph"/>
      </w:pPr>
      <w:r>
        <w:t xml:space="preserve">AMD closed at</w:t>
      </w:r>
      <w:r>
        <w:t xml:space="preserve"> </w:t>
      </w:r>
      <w:r>
        <w:rPr>
          <w:b/>
          <w:bCs/>
        </w:rPr>
        <w:t xml:space="preserve">$484.68 on August 3</w:t>
      </w:r>
      <w:r>
        <w:t xml:space="preserve">, approximately:</w:t>
      </w:r>
    </w:p>
    <w:p>
      <w:pPr>
        <w:pStyle w:val="Compact"/>
        <w:numPr>
          <w:ilvl w:val="0"/>
          <w:numId w:val="1015"/>
        </w:numPr>
      </w:pPr>
      <w:r>
        <w:rPr>
          <w:b/>
          <w:bCs/>
        </w:rPr>
        <w:t xml:space="preserve">36% above</w:t>
      </w:r>
      <w:r>
        <w:t xml:space="preserve"> </w:t>
      </w:r>
      <w:r>
        <w:t xml:space="preserve">its May 5 closing price around the Q1 report.</w:t>
      </w:r>
    </w:p>
    <w:p>
      <w:pPr>
        <w:pStyle w:val="Compact"/>
        <w:numPr>
          <w:ilvl w:val="0"/>
          <w:numId w:val="1015"/>
        </w:numPr>
      </w:pPr>
      <w:r>
        <w:rPr>
          <w:b/>
          <w:bCs/>
        </w:rPr>
        <w:t xml:space="preserve">17% below</w:t>
      </w:r>
      <w:r>
        <w:t xml:space="preserve"> </w:t>
      </w:r>
      <w:r>
        <w:t xml:space="preserve">its June 30 closing high.</w:t>
      </w:r>
    </w:p>
    <w:p>
      <w:pPr>
        <w:pStyle w:val="Compact"/>
        <w:numPr>
          <w:ilvl w:val="0"/>
          <w:numId w:val="1015"/>
        </w:numPr>
      </w:pPr>
      <w:r>
        <w:rPr>
          <w:b/>
          <w:bCs/>
        </w:rPr>
        <w:t xml:space="preserve">12% below</w:t>
      </w:r>
      <w:r>
        <w:t xml:space="preserve"> </w:t>
      </w:r>
      <w:r>
        <w:t xml:space="preserve">its July 22 close around the Anthropic announcement.</w:t>
      </w:r>
    </w:p>
    <w:p>
      <w:pPr>
        <w:pStyle w:val="FirstParagraph"/>
      </w:pPr>
      <w:r>
        <w:t xml:space="preserve">The pullback has reduced some of the immediate risk, but the stock still reflects substantial confidence in AMD’s 2027 AI opportunity. This is therefore not a low-expectations setup.</w:t>
      </w:r>
    </w:p>
    <w:p>
      <w:pPr>
        <w:pStyle w:val="BodyText"/>
      </w:pPr>
      <w:r>
        <w:t xml:space="preserve">Investors are likely to reward:</w:t>
      </w:r>
    </w:p>
    <w:p>
      <w:pPr>
        <w:pStyle w:val="Compact"/>
        <w:numPr>
          <w:ilvl w:val="0"/>
          <w:numId w:val="1016"/>
        </w:numPr>
      </w:pPr>
      <w:r>
        <w:t xml:space="preserve">A clean Q2 beat.</w:t>
      </w:r>
    </w:p>
    <w:p>
      <w:pPr>
        <w:pStyle w:val="Compact"/>
        <w:numPr>
          <w:ilvl w:val="0"/>
          <w:numId w:val="1016"/>
        </w:numPr>
      </w:pPr>
      <w:r>
        <w:t xml:space="preserve">Above-plan EPYC performance.</w:t>
      </w:r>
    </w:p>
    <w:p>
      <w:pPr>
        <w:pStyle w:val="Compact"/>
        <w:numPr>
          <w:ilvl w:val="0"/>
          <w:numId w:val="1016"/>
        </w:numPr>
      </w:pPr>
      <w:r>
        <w:t xml:space="preserve">Firm Q4 Helios revenue visibility.</w:t>
      </w:r>
    </w:p>
    <w:p>
      <w:pPr>
        <w:pStyle w:val="Compact"/>
        <w:numPr>
          <w:ilvl w:val="0"/>
          <w:numId w:val="1016"/>
        </w:numPr>
      </w:pPr>
      <w:r>
        <w:t xml:space="preserve">Stable margins.</w:t>
      </w:r>
    </w:p>
    <w:p>
      <w:pPr>
        <w:pStyle w:val="Compact"/>
        <w:numPr>
          <w:ilvl w:val="0"/>
          <w:numId w:val="1016"/>
        </w:numPr>
      </w:pPr>
      <w:r>
        <w:t xml:space="preserve">More detail converting gigawatts into revenue.</w:t>
      </w:r>
    </w:p>
    <w:p>
      <w:pPr>
        <w:pStyle w:val="FirstParagraph"/>
      </w:pPr>
      <w:r>
        <w:t xml:space="preserve">They may look through a modest Q2 beat if Q3 guidance or Helios timing disappoints.</w:t>
      </w:r>
    </w:p>
    <w:p>
      <w:r>
        <w:pict>
          <v:rect style="width:0;height:1.5pt" o:hralign="center" o:hrstd="t" o:hr="t"/>
        </w:pict>
      </w:r>
    </w:p>
    <w:bookmarkEnd w:id="26"/>
    <w:bookmarkStart w:id="30" w:name="bull-base-and-bear-interpretations"/>
    <w:p>
      <w:pPr>
        <w:pStyle w:val="Heading2"/>
      </w:pPr>
      <w:r>
        <w:t xml:space="preserve">Bull, base and bear interpretations</w:t>
      </w:r>
    </w:p>
    <w:bookmarkStart w:id="27" w:name="bull-case"/>
    <w:p>
      <w:pPr>
        <w:pStyle w:val="Heading3"/>
      </w:pPr>
      <w:r>
        <w:t xml:space="preserve">Bull case</w:t>
      </w:r>
    </w:p>
    <w:p>
      <w:pPr>
        <w:pStyle w:val="Compact"/>
        <w:numPr>
          <w:ilvl w:val="0"/>
          <w:numId w:val="1017"/>
        </w:numPr>
      </w:pPr>
      <w:r>
        <w:t xml:space="preserve">Revenue and gross margin exceed guidance.</w:t>
      </w:r>
    </w:p>
    <w:p>
      <w:pPr>
        <w:pStyle w:val="Compact"/>
        <w:numPr>
          <w:ilvl w:val="0"/>
          <w:numId w:val="1017"/>
        </w:numPr>
      </w:pPr>
      <w:r>
        <w:t xml:space="preserve">EPYC materially outperforms the 70% growth target.</w:t>
      </w:r>
    </w:p>
    <w:p>
      <w:pPr>
        <w:pStyle w:val="Compact"/>
        <w:numPr>
          <w:ilvl w:val="0"/>
          <w:numId w:val="1017"/>
        </w:numPr>
      </w:pPr>
      <w:r>
        <w:t xml:space="preserve">Helios timing is reiterated or moved forward.</w:t>
      </w:r>
    </w:p>
    <w:p>
      <w:pPr>
        <w:pStyle w:val="Compact"/>
        <w:numPr>
          <w:ilvl w:val="0"/>
          <w:numId w:val="1017"/>
        </w:numPr>
      </w:pPr>
      <w:r>
        <w:t xml:space="preserve">Management raises its 2026 Data Center outlook.</w:t>
      </w:r>
    </w:p>
    <w:p>
      <w:pPr>
        <w:pStyle w:val="Compact"/>
        <w:numPr>
          <w:ilvl w:val="0"/>
          <w:numId w:val="1017"/>
        </w:numPr>
      </w:pPr>
      <w:r>
        <w:t xml:space="preserve">Customer forecasts and secured supply support a larger 2027 ramp.</w:t>
      </w:r>
    </w:p>
    <w:p>
      <w:pPr>
        <w:pStyle w:val="Compact"/>
        <w:numPr>
          <w:ilvl w:val="0"/>
          <w:numId w:val="1017"/>
        </w:numPr>
      </w:pPr>
      <w:r>
        <w:t xml:space="preserve">Q4 gross-margin dilution appears manageable.</w:t>
      </w:r>
    </w:p>
    <w:p>
      <w:pPr>
        <w:pStyle w:val="FirstParagraph"/>
      </w:pPr>
      <w:r>
        <w:rPr>
          <w:b/>
          <w:bCs/>
        </w:rPr>
        <w:t xml:space="preserve">Read-through:</w:t>
      </w:r>
      <w:r>
        <w:t xml:space="preserve"> </w:t>
      </w:r>
      <w:r>
        <w:t xml:space="preserve">AMD is becoming a credible second full-scale AI infrastructure platform, with CPU strength funding its accelerator expansion.</w:t>
      </w:r>
    </w:p>
    <w:bookmarkEnd w:id="27"/>
    <w:bookmarkStart w:id="28" w:name="base-case"/>
    <w:p>
      <w:pPr>
        <w:pStyle w:val="Heading3"/>
      </w:pPr>
      <w:r>
        <w:t xml:space="preserve">Base case</w:t>
      </w:r>
    </w:p>
    <w:p>
      <w:pPr>
        <w:pStyle w:val="Compact"/>
        <w:numPr>
          <w:ilvl w:val="0"/>
          <w:numId w:val="1018"/>
        </w:numPr>
      </w:pPr>
      <w:r>
        <w:t xml:space="preserve">Q2 lands near or modestly above guidance.</w:t>
      </w:r>
    </w:p>
    <w:p>
      <w:pPr>
        <w:pStyle w:val="Compact"/>
        <w:numPr>
          <w:ilvl w:val="0"/>
          <w:numId w:val="1018"/>
        </w:numPr>
      </w:pPr>
      <w:r>
        <w:t xml:space="preserve">EPYC remains strong.</w:t>
      </w:r>
    </w:p>
    <w:p>
      <w:pPr>
        <w:pStyle w:val="Compact"/>
        <w:numPr>
          <w:ilvl w:val="0"/>
          <w:numId w:val="1018"/>
        </w:numPr>
      </w:pPr>
      <w:r>
        <w:t xml:space="preserve">Instinct grows but Helios remains primarily a Q4/2027 story.</w:t>
      </w:r>
    </w:p>
    <w:p>
      <w:pPr>
        <w:pStyle w:val="Compact"/>
        <w:numPr>
          <w:ilvl w:val="0"/>
          <w:numId w:val="1018"/>
        </w:numPr>
      </w:pPr>
      <w:r>
        <w:t xml:space="preserve">Gross margin is approximately 56%.</w:t>
      </w:r>
    </w:p>
    <w:p>
      <w:pPr>
        <w:pStyle w:val="Compact"/>
        <w:numPr>
          <w:ilvl w:val="0"/>
          <w:numId w:val="1018"/>
        </w:numPr>
      </w:pPr>
      <w:r>
        <w:t xml:space="preserve">Q3 guidance is solid but not dramatically above expectations.</w:t>
      </w:r>
    </w:p>
    <w:p>
      <w:pPr>
        <w:pStyle w:val="Compact"/>
        <w:numPr>
          <w:ilvl w:val="0"/>
          <w:numId w:val="1018"/>
        </w:numPr>
      </w:pPr>
      <w:r>
        <w:t xml:space="preserve">Management reiterates tens of billions in 2027 Data Center AI revenue.</w:t>
      </w:r>
    </w:p>
    <w:p>
      <w:pPr>
        <w:pStyle w:val="FirstParagraph"/>
      </w:pPr>
      <w:r>
        <w:rPr>
          <w:b/>
          <w:bCs/>
        </w:rPr>
        <w:t xml:space="preserve">Read-through:</w:t>
      </w:r>
      <w:r>
        <w:t xml:space="preserve"> </w:t>
      </w:r>
      <w:r>
        <w:t xml:space="preserve">The thesis remains intact, but the stock’s next move depends on actual late-year shipments.</w:t>
      </w:r>
    </w:p>
    <w:bookmarkEnd w:id="28"/>
    <w:bookmarkStart w:id="29" w:name="bear-case"/>
    <w:p>
      <w:pPr>
        <w:pStyle w:val="Heading3"/>
      </w:pPr>
      <w:r>
        <w:t xml:space="preserve">Bear case</w:t>
      </w:r>
    </w:p>
    <w:p>
      <w:pPr>
        <w:pStyle w:val="Compact"/>
        <w:numPr>
          <w:ilvl w:val="0"/>
          <w:numId w:val="1019"/>
        </w:numPr>
      </w:pPr>
      <w:r>
        <w:t xml:space="preserve">Revenue or margin misses.</w:t>
      </w:r>
    </w:p>
    <w:p>
      <w:pPr>
        <w:pStyle w:val="Compact"/>
        <w:numPr>
          <w:ilvl w:val="0"/>
          <w:numId w:val="1019"/>
        </w:numPr>
      </w:pPr>
      <w:r>
        <w:t xml:space="preserve">Data Center growth is disproportionately dependent on CPUs.</w:t>
      </w:r>
    </w:p>
    <w:p>
      <w:pPr>
        <w:pStyle w:val="Compact"/>
        <w:numPr>
          <w:ilvl w:val="0"/>
          <w:numId w:val="1019"/>
        </w:numPr>
      </w:pPr>
      <w:r>
        <w:t xml:space="preserve">Helios ramps later or more slowly than expected.</w:t>
      </w:r>
    </w:p>
    <w:p>
      <w:pPr>
        <w:pStyle w:val="Compact"/>
        <w:numPr>
          <w:ilvl w:val="0"/>
          <w:numId w:val="1019"/>
        </w:numPr>
      </w:pPr>
      <w:r>
        <w:t xml:space="preserve">AI launch costs cause greater margin pressure.</w:t>
      </w:r>
    </w:p>
    <w:p>
      <w:pPr>
        <w:pStyle w:val="Compact"/>
        <w:numPr>
          <w:ilvl w:val="0"/>
          <w:numId w:val="1019"/>
        </w:numPr>
      </w:pPr>
      <w:r>
        <w:t xml:space="preserve">PC and Gaming weakness offsets Data Center upside.</w:t>
      </w:r>
    </w:p>
    <w:p>
      <w:pPr>
        <w:pStyle w:val="Compact"/>
        <w:numPr>
          <w:ilvl w:val="0"/>
          <w:numId w:val="1019"/>
        </w:numPr>
      </w:pPr>
      <w:r>
        <w:t xml:space="preserve">Management provides limited contractual or financial detail on large AI agreements.</w:t>
      </w:r>
    </w:p>
    <w:p>
      <w:pPr>
        <w:pStyle w:val="Compact"/>
        <w:numPr>
          <w:ilvl w:val="0"/>
          <w:numId w:val="1019"/>
        </w:numPr>
      </w:pPr>
      <w:r>
        <w:t xml:space="preserve">Expenses and strategic investments rise faster than cash generation.</w:t>
      </w:r>
    </w:p>
    <w:p>
      <w:pPr>
        <w:pStyle w:val="FirstParagraph"/>
      </w:pPr>
      <w:r>
        <w:rPr>
          <w:b/>
          <w:bCs/>
        </w:rPr>
        <w:t xml:space="preserve">Read-through:</w:t>
      </w:r>
      <w:r>
        <w:t xml:space="preserve"> </w:t>
      </w:r>
      <w:r>
        <w:t xml:space="preserve">AMD has strong customer interest, but the path from announcements to attractive earnings may be longer and more expensive than investors expect.</w:t>
      </w:r>
    </w:p>
    <w:p>
      <w:r>
        <w:pict>
          <v:rect style="width:0;height:1.5pt" o:hralign="center" o:hrstd="t" o:hr="t"/>
        </w:pict>
      </w:r>
    </w:p>
    <w:bookmarkEnd w:id="29"/>
    <w:bookmarkEnd w:id="30"/>
    <w:bookmarkStart w:id="31" w:name="questions-management-should-answer"/>
    <w:p>
      <w:pPr>
        <w:pStyle w:val="Heading2"/>
      </w:pPr>
      <w:r>
        <w:t xml:space="preserve">Questions management should answer</w:t>
      </w:r>
    </w:p>
    <w:p>
      <w:pPr>
        <w:pStyle w:val="Compact"/>
        <w:numPr>
          <w:ilvl w:val="0"/>
          <w:numId w:val="1020"/>
        </w:numPr>
      </w:pPr>
      <w:r>
        <w:rPr>
          <w:b/>
          <w:bCs/>
        </w:rPr>
        <w:t xml:space="preserve">What portion of Helios capacity scheduled for Q4 2026 and 2027 is covered by binding commitments?</w:t>
      </w:r>
    </w:p>
    <w:p>
      <w:pPr>
        <w:pStyle w:val="Compact"/>
        <w:numPr>
          <w:ilvl w:val="0"/>
          <w:numId w:val="1020"/>
        </w:numPr>
      </w:pPr>
      <w:r>
        <w:rPr>
          <w:b/>
          <w:bCs/>
        </w:rPr>
        <w:t xml:space="preserve">Has the expected Q4 MI450 revenue ramp changed since the May call?</w:t>
      </w:r>
    </w:p>
    <w:p>
      <w:pPr>
        <w:pStyle w:val="Compact"/>
        <w:numPr>
          <w:ilvl w:val="0"/>
          <w:numId w:val="1020"/>
        </w:numPr>
      </w:pPr>
      <w:r>
        <w:rPr>
          <w:b/>
          <w:bCs/>
        </w:rPr>
        <w:t xml:space="preserve">What supply constraints are most material: wafers, HBM4, advanced packaging, networking, power or customer data-center readiness?</w:t>
      </w:r>
    </w:p>
    <w:p>
      <w:pPr>
        <w:pStyle w:val="Compact"/>
        <w:numPr>
          <w:ilvl w:val="0"/>
          <w:numId w:val="1020"/>
        </w:numPr>
      </w:pPr>
      <w:r>
        <w:rPr>
          <w:b/>
          <w:bCs/>
        </w:rPr>
        <w:t xml:space="preserve">How much of Q2 server CPU growth came from units, mix and pricing?</w:t>
      </w:r>
    </w:p>
    <w:p>
      <w:pPr>
        <w:pStyle w:val="Compact"/>
        <w:numPr>
          <w:ilvl w:val="0"/>
          <w:numId w:val="1020"/>
        </w:numPr>
      </w:pPr>
      <w:r>
        <w:rPr>
          <w:b/>
          <w:bCs/>
        </w:rPr>
        <w:t xml:space="preserve">Can AMD quantify current Instinct revenue growth without disclosing customer-specific figures?</w:t>
      </w:r>
    </w:p>
    <w:p>
      <w:pPr>
        <w:pStyle w:val="Compact"/>
        <w:numPr>
          <w:ilvl w:val="0"/>
          <w:numId w:val="1020"/>
        </w:numPr>
      </w:pPr>
      <w:r>
        <w:rPr>
          <w:b/>
          <w:bCs/>
        </w:rPr>
        <w:t xml:space="preserve">How should investors model Instinct gross margins through 2027?</w:t>
      </w:r>
    </w:p>
    <w:p>
      <w:pPr>
        <w:pStyle w:val="Compact"/>
        <w:numPr>
          <w:ilvl w:val="0"/>
          <w:numId w:val="1020"/>
        </w:numPr>
      </w:pPr>
      <w:r>
        <w:rPr>
          <w:b/>
          <w:bCs/>
        </w:rPr>
        <w:t xml:space="preserve">What is AMD’s maximum financial exposure to Anthropic investments, leases or other support?</w:t>
      </w:r>
    </w:p>
    <w:p>
      <w:pPr>
        <w:pStyle w:val="Compact"/>
        <w:numPr>
          <w:ilvl w:val="0"/>
          <w:numId w:val="1020"/>
        </w:numPr>
      </w:pPr>
      <w:r>
        <w:rPr>
          <w:b/>
          <w:bCs/>
        </w:rPr>
        <w:t xml:space="preserve">How much incremental operating expense will be required to support the expanded AI customer base?</w:t>
      </w:r>
    </w:p>
    <w:p>
      <w:pPr>
        <w:pStyle w:val="Compact"/>
        <w:numPr>
          <w:ilvl w:val="0"/>
          <w:numId w:val="1020"/>
        </w:numPr>
      </w:pPr>
      <w:r>
        <w:rPr>
          <w:b/>
          <w:bCs/>
        </w:rPr>
        <w:t xml:space="preserve">Is the second-half PC and Gaming outlook better or worse than it was in May?</w:t>
      </w:r>
    </w:p>
    <w:p>
      <w:pPr>
        <w:pStyle w:val="Compact"/>
        <w:numPr>
          <w:ilvl w:val="0"/>
          <w:numId w:val="1020"/>
        </w:numPr>
      </w:pPr>
      <w:r>
        <w:rPr>
          <w:b/>
          <w:bCs/>
        </w:rPr>
        <w:t xml:space="preserve">Can management reconcile its rapidly rising AI and CPU market forecasts with practical power and infrastructure constraints?</w:t>
      </w:r>
    </w:p>
    <w:p>
      <w:r>
        <w:pict>
          <v:rect style="width:0;height:1.5pt" o:hralign="center" o:hrstd="t" o:hr="t"/>
        </w:pict>
      </w:r>
    </w:p>
    <w:bookmarkEnd w:id="31"/>
    <w:bookmarkStart w:id="32" w:name="bottom-line"/>
    <w:p>
      <w:pPr>
        <w:pStyle w:val="Heading2"/>
      </w:pPr>
      <w:r>
        <w:t xml:space="preserve">Bottom line</w:t>
      </w:r>
    </w:p>
    <w:p>
      <w:pPr>
        <w:pStyle w:val="FirstParagraph"/>
      </w:pPr>
      <w:r>
        <w:t xml:space="preserve">AMD enters Q2 earnings with excellent operating momentum and stronger strategic positioning than it had a quarter ago. EPYC appears to be accelerating, major AI customers are validating Helios, and the company now has several multi-gigawatt opportunities.</w:t>
      </w:r>
    </w:p>
    <w:p>
      <w:pPr>
        <w:pStyle w:val="BodyText"/>
      </w:pPr>
      <w:r>
        <w:t xml:space="preserve">But much of that upside is still prospective.</w:t>
      </w:r>
    </w:p>
    <w:p>
      <w:pPr>
        <w:pStyle w:val="BodyText"/>
      </w:pPr>
      <w:r>
        <w:t xml:space="preserve">The decisive issue is not whether AMD reaches its</w:t>
      </w:r>
      <w:r>
        <w:t xml:space="preserve"> </w:t>
      </w:r>
      <w:r>
        <w:rPr>
          <w:b/>
          <w:bCs/>
        </w:rPr>
        <w:t xml:space="preserve">$11.2 billion Q2 revenue target</w:t>
      </w:r>
      <w:r>
        <w:t xml:space="preserve">. It is whether management can demonstrate that the expected late-2026 and 2027 AI ramp is:</w:t>
      </w:r>
    </w:p>
    <w:p>
      <w:pPr>
        <w:pStyle w:val="Compact"/>
        <w:numPr>
          <w:ilvl w:val="0"/>
          <w:numId w:val="1021"/>
        </w:numPr>
      </w:pPr>
      <w:r>
        <w:t xml:space="preserve">On schedule,</w:t>
      </w:r>
    </w:p>
    <w:p>
      <w:pPr>
        <w:pStyle w:val="Compact"/>
        <w:numPr>
          <w:ilvl w:val="0"/>
          <w:numId w:val="1021"/>
        </w:numPr>
      </w:pPr>
      <w:r>
        <w:t xml:space="preserve">Supported by supply and data-center capacity,</w:t>
      </w:r>
    </w:p>
    <w:p>
      <w:pPr>
        <w:pStyle w:val="Compact"/>
        <w:numPr>
          <w:ilvl w:val="0"/>
          <w:numId w:val="1021"/>
        </w:numPr>
      </w:pPr>
      <w:r>
        <w:t xml:space="preserve">Backed by credible customer commitments, and</w:t>
      </w:r>
    </w:p>
    <w:p>
      <w:pPr>
        <w:pStyle w:val="Compact"/>
        <w:numPr>
          <w:ilvl w:val="0"/>
          <w:numId w:val="1021"/>
        </w:numPr>
      </w:pPr>
      <w:r>
        <w:t xml:space="preserve">Capable of producing attractive margins and cash returns.</w:t>
      </w:r>
    </w:p>
    <w:p>
      <w:pPr>
        <w:pStyle w:val="FirstParagraph"/>
      </w:pPr>
      <w:r>
        <w:t xml:space="preserve">A beat-and-raise with firm Helios timing would support the bull case. A respectable quarter accompanied by vague Q4 commentary could still disappoint given the expectations already embedded in the shares.</w:t>
      </w:r>
    </w:p>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2026-08-04T01:50:01Z</dcterms:created>
  <dcterms:modified xsi:type="dcterms:W3CDTF">2026-08-04T01:50:01Z</dcterms:modified>
</cp:coreProperties>
</file>

<file path=docProps/custom.xml><?xml version="1.0" encoding="utf-8"?>
<Properties xmlns="http://schemas.openxmlformats.org/officeDocument/2006/custom-properties" xmlns:vt="http://schemas.openxmlformats.org/officeDocument/2006/docPropsVTypes"/>
</file>