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amd-2q26-earnings-preview"/>
    <w:p>
      <w:pPr>
        <w:pStyle w:val="Heading1"/>
      </w:pPr>
      <w:r>
        <w:t xml:space="preserve">AMD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August 4, 2026</w:t>
      </w:r>
      <w:r>
        <w:t xml:space="preserve">. The stated event date—</w:t>
      </w:r>
      <w:r>
        <w:rPr>
          <w:b/>
          <w:bCs/>
        </w:rPr>
        <w:t xml:space="preserve">2026Q2 earnings call on August 4, 2026</w:t>
      </w:r>
      <w:r>
        <w:t xml:space="preserve">—is therefore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</w:t>
      </w:r>
    </w:p>
    <w:bookmarkStart w:id="9" w:name="X30f64cf5e8a6ab19af010db3c4fcbfd51bee0a8"/>
    <w:p>
      <w:pPr>
        <w:pStyle w:val="Heading2"/>
      </w:pPr>
      <w:r>
        <w:t xml:space="preserve">Investment setup: the quarter matters, but the forward ramp matters more</w:t>
      </w:r>
    </w:p>
    <w:p>
      <w:pPr>
        <w:pStyle w:val="FirstParagraph"/>
      </w:pPr>
      <w:r>
        <w:t xml:space="preserve">AMD enters 2Q26 earnings with a straightforward near-term setup—management guided to another strong sequential revenue increase—but an unusually consequential strategic question:</w:t>
      </w:r>
      <w:r>
        <w:t xml:space="preserve"> </w:t>
      </w:r>
      <w:r>
        <w:rPr>
          <w:b/>
          <w:bCs/>
        </w:rPr>
        <w:t xml:space="preserve">can the company translate its expanding AI customer commitments into a credible, supply-backed 2H26 and 2027 revenue ramp?</w:t>
      </w:r>
    </w:p>
    <w:p>
      <w:pPr>
        <w:pStyle w:val="BodyText"/>
      </w:pPr>
      <w:r>
        <w:t xml:space="preserve">The market already knows AMD’s Data Center business is growing quickly. What investors need from this report is evidence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EPYC server-CPU growth remains exceptionally strong;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Instinct GPU demand is converting from customer enthusiasm and partnerships into shipments and backlog;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Helios/MI450 production timing remains on track;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Gross-margin dilution from the AI-GPU ramp is manageable;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capacity—HBM, advanced packaging, wafers, power, and customer data-center readiness—will not constrain the 2027 opportunity.</w:t>
      </w:r>
    </w:p>
    <w:p>
      <w:pPr>
        <w:pStyle w:val="FirstParagraph"/>
      </w:pPr>
      <w:r>
        <w:t xml:space="preserve">The stock has been volatile into the print: AMD closed at</w:t>
      </w:r>
      <w:r>
        <w:t xml:space="preserve"> </w:t>
      </w:r>
      <m:oMath>
        <m:r>
          <m:t>484.68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i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552.33</w:t>
      </w:r>
      <w:r>
        <w:t xml:space="preserve"> </w:t>
      </w:r>
      <w:r>
        <w:t xml:space="preserve">close on July 22, before recovering from a late-July semiconductor selloff. That volatility suggests investors are likely focused less on a modest 2Q beat and more on whether management’s forward commentary validates the longer-duration AI narrative.</w:t>
      </w:r>
    </w:p>
    <w:p>
      <w:r>
        <w:pict>
          <v:rect style="width:0;height:1.5pt" o:hralign="center" o:hrstd="t" o:hr="t"/>
        </w:pict>
      </w:r>
    </w:p>
    <w:bookmarkEnd w:id="9"/>
    <w:bookmarkStart w:id="10" w:name="what-amd-has-guided-to-for-2q26"/>
    <w:p>
      <w:pPr>
        <w:pStyle w:val="Heading2"/>
      </w:pPr>
      <w:r>
        <w:t xml:space="preserve">What AMD has guided to for 2Q26</w:t>
      </w:r>
    </w:p>
    <w:p>
      <w:pPr>
        <w:pStyle w:val="FirstParagraph"/>
      </w:pPr>
      <w:r>
        <w:t xml:space="preserve">AMD’s May 5 outlook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$11.2B ± $0.3B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~46% YoY</w:t>
            </w:r>
            <w:r>
              <w:t xml:space="preserve"> </w:t>
            </w:r>
            <w:r>
              <w:t xml:space="preserve">at midpoint;</w:t>
            </w:r>
            <w:r>
              <w:t xml:space="preserve"> </w:t>
            </w:r>
            <w:r>
              <w:rPr>
                <w:b/>
                <w:bCs/>
              </w:rPr>
              <w:t xml:space="preserve">~9% QoQ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~56%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expenses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~$3.3B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other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~$60M gain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share count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~1.66B</w:t>
            </w:r>
          </w:p>
        </w:tc>
      </w:tr>
    </w:tbl>
    <w:p>
      <w:pPr>
        <w:pStyle w:val="BodyText"/>
      </w:pPr>
      <w:r>
        <w:t xml:space="preserve">At the midpoint, this framework implies roughly</w:t>
      </w:r>
      <w:r>
        <w:t xml:space="preserve"> </w:t>
      </w:r>
      <m:oMath>
        <m:r>
          <m:t>1.59</m:t>
        </m:r>
        <m:r>
          <m:t>o</m:t>
        </m:r>
        <m:r>
          <m:t>f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s</m:t>
        </m:r>
        <m:r>
          <m:t>m</m:t>
        </m:r>
        <m:r>
          <m:t>a</m:t>
        </m:r>
        <m:r>
          <m:t>l</m:t>
        </m:r>
        <m:r>
          <m:t>l</m:t>
        </m:r>
        <m:r>
          <m:t>m</m:t>
        </m:r>
        <m:r>
          <m:t>o</m:t>
        </m:r>
        <m:r>
          <m:t>d</m:t>
        </m:r>
        <m:r>
          <m:t>e</m:t>
        </m:r>
        <m:r>
          <m:t>l</m:t>
        </m:r>
        <m:r>
          <m:t>i</m:t>
        </m:r>
        <m:r>
          <m:t>n</m:t>
        </m:r>
        <m:r>
          <m:t>g</m:t>
        </m:r>
        <m:r>
          <m:t>d</m:t>
        </m:r>
        <m:r>
          <m:t>i</m:t>
        </m:r>
        <m:r>
          <m:t>f</m:t>
        </m:r>
        <m:r>
          <m:t>f</m:t>
        </m:r>
        <m:r>
          <m:t>e</m:t>
        </m:r>
        <m:r>
          <m:t>r</m:t>
        </m:r>
        <m:r>
          <m:t>e</m:t>
        </m:r>
        <m:r>
          <m:t>n</m:t>
        </m:r>
        <m:r>
          <m:t>c</m:t>
        </m:r>
        <m:r>
          <m:t>e</m:t>
        </m:r>
        <m:r>
          <m:t>s</m:t>
        </m:r>
        <m:r>
          <m:rPr>
            <m:sty m:val="p"/>
          </m:rPr>
          <m:t>—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1.37</w:t>
      </w:r>
      <w:r>
        <w:t xml:space="preserve"> </w:t>
      </w:r>
      <w:r>
        <w:t xml:space="preserve">in 1Q26.</w:t>
      </w:r>
    </w:p>
    <w:p>
      <w:pPr>
        <w:pStyle w:val="BodyText"/>
      </w:pPr>
      <w:r>
        <w:t xml:space="preserve">The key point is that AMD’s guidance already embeds a very strong June quarter. A simple beat may not be enough; investors will scrutinize the</w:t>
      </w:r>
      <w:r>
        <w:t xml:space="preserve"> </w:t>
      </w:r>
      <w:r>
        <w:rPr>
          <w:b/>
          <w:bCs/>
        </w:rPr>
        <w:t xml:space="preserve">3Q outlook and the shape of the 2H ramp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4" w:name="why-the-setup-is-constructive"/>
    <w:p>
      <w:pPr>
        <w:pStyle w:val="Heading2"/>
      </w:pPr>
      <w:r>
        <w:t xml:space="preserve">Why the setup is constructive</w:t>
      </w:r>
    </w:p>
    <w:bookmarkStart w:id="11" w:name="X2c6281c9a4aa0e3c603b06d12300499682a2246"/>
    <w:p>
      <w:pPr>
        <w:pStyle w:val="Heading3"/>
      </w:pPr>
      <w:r>
        <w:t xml:space="preserve">1. Data Center should again carry the quarter</w:t>
      </w:r>
    </w:p>
    <w:p>
      <w:pPr>
        <w:pStyle w:val="FirstParagraph"/>
      </w:pPr>
      <w:r>
        <w:t xml:space="preserve">In 1Q26, AMD reported Data Center revenue of</w:t>
      </w:r>
      <w:r>
        <w:t xml:space="preserve"> </w:t>
      </w:r>
      <w:r>
        <w:rPr>
          <w:b/>
          <w:bCs/>
        </w:rPr>
        <w:t xml:space="preserve">$5.8B</w:t>
      </w:r>
      <w:r>
        <w:t xml:space="preserve">, up</w:t>
      </w:r>
      <w:r>
        <w:t xml:space="preserve"> </w:t>
      </w:r>
      <w:r>
        <w:rPr>
          <w:b/>
          <w:bCs/>
        </w:rPr>
        <w:t xml:space="preserve">57% YoY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7% sequentially</w:t>
      </w:r>
      <w:r>
        <w:t xml:space="preserve">, led by EPYC CPUs and Instinct GPUs. For 2Q, management guided to</w:t>
      </w:r>
      <w:r>
        <w:t xml:space="preserve"> </w:t>
      </w:r>
      <w:r>
        <w:rPr>
          <w:b/>
          <w:bCs/>
        </w:rPr>
        <w:t xml:space="preserve">double-digit sequential growth in both server CPUs and Data Center AI</w:t>
      </w:r>
      <w:r>
        <w:t xml:space="preserve">.</w:t>
      </w:r>
    </w:p>
    <w:p>
      <w:pPr>
        <w:pStyle w:val="BodyText"/>
      </w:pPr>
      <w:r>
        <w:t xml:space="preserve">Server CPUs appear especially important in the near term. Management previously said server-CPU revenue should grow</w:t>
      </w:r>
      <w:r>
        <w:t xml:space="preserve"> </w:t>
      </w:r>
      <w:r>
        <w:rPr>
          <w:b/>
          <w:bCs/>
        </w:rPr>
        <w:t xml:space="preserve">more than 70% YoY in 2Q</w:t>
      </w:r>
      <w:r>
        <w:t xml:space="preserve">, driven principally by unit growth, next-generation EPYC adoption, cloud demand, and enterprise share gains. That is a substantial earnings lever because EPYC is margin accretive and broadens AMD’s AI exposure beyond GPUs: CPUs are required for accelerator host nodes, orchestration, data movement, and agentic-AI workloads.</w:t>
      </w:r>
    </w:p>
    <w:bookmarkEnd w:id="11"/>
    <w:bookmarkStart w:id="12" w:name="X531ffc222c75bd151fe9aaf336fe69389ac9cc0"/>
    <w:p>
      <w:pPr>
        <w:pStyle w:val="Heading3"/>
      </w:pPr>
      <w:r>
        <w:t xml:space="preserve">2. The AI customer pipeline has widened materially</w:t>
      </w:r>
    </w:p>
    <w:p>
      <w:pPr>
        <w:pStyle w:val="FirstParagraph"/>
      </w:pPr>
      <w:r>
        <w:t xml:space="preserve">Since the May earnings call, AMD has added tangible evidence that its AI roadmap is gaining strategic relevance:</w:t>
      </w:r>
    </w:p>
    <w:p>
      <w:pPr>
        <w:pStyle w:val="Compact"/>
        <w:numPr>
          <w:ilvl w:val="0"/>
          <w:numId w:val="1002"/>
        </w:numPr>
      </w:pPr>
      <w:r>
        <w:t xml:space="preserve">At its July 23 Advancing AI event, AMD said</w:t>
      </w:r>
      <w:r>
        <w:t xml:space="preserve"> </w:t>
      </w:r>
      <w:r>
        <w:rPr>
          <w:b/>
          <w:bCs/>
        </w:rPr>
        <w:t xml:space="preserve">Helios is in production</w:t>
      </w:r>
      <w:r>
        <w:t xml:space="preserve">, with shipments expected to begin at the</w:t>
      </w:r>
      <w:r>
        <w:t xml:space="preserve"> </w:t>
      </w:r>
      <w:r>
        <w:rPr>
          <w:b/>
          <w:bCs/>
        </w:rPr>
        <w:t xml:space="preserve">end of 3Q26</w:t>
      </w:r>
      <w:r>
        <w:t xml:space="preserve"> </w:t>
      </w:r>
      <w:r>
        <w:t xml:space="preserve">and ramp through 4Q.</w:t>
      </w:r>
    </w:p>
    <w:p>
      <w:pPr>
        <w:pStyle w:val="Compact"/>
        <w:numPr>
          <w:ilvl w:val="0"/>
          <w:numId w:val="1002"/>
        </w:numPr>
      </w:pPr>
      <w:r>
        <w:t xml:space="preserve">AMD highlighted deployments and relationships spanning</w:t>
      </w:r>
      <w:r>
        <w:t xml:space="preserve"> </w:t>
      </w:r>
      <w:r>
        <w:rPr>
          <w:b/>
          <w:bCs/>
        </w:rPr>
        <w:t xml:space="preserve">OpenAI, Meta, Microsoft, Oracle, Anthropic</w:t>
      </w:r>
      <w:r>
        <w:t xml:space="preserve">, and other AI-infrastructure customers.</w:t>
      </w:r>
    </w:p>
    <w:p>
      <w:pPr>
        <w:pStyle w:val="Compact"/>
        <w:numPr>
          <w:ilvl w:val="0"/>
          <w:numId w:val="1002"/>
        </w:numPr>
      </w:pPr>
      <w:r>
        <w:t xml:space="preserve">AMD and Anthropic announced a partnership covering up to</w:t>
      </w:r>
      <w:r>
        <w:t xml:space="preserve"> </w:t>
      </w:r>
      <w:r>
        <w:rPr>
          <w:b/>
          <w:bCs/>
        </w:rPr>
        <w:t xml:space="preserve">2 gigawatts</w:t>
      </w:r>
      <w:r>
        <w:t xml:space="preserve"> </w:t>
      </w:r>
      <w:r>
        <w:t xml:space="preserve">of AMD infrastructure, alongside AMD’s planned investment of up to</w:t>
      </w:r>
      <w:r>
        <w:t xml:space="preserve"> </w:t>
      </w:r>
      <w:r>
        <w:rPr>
          <w:b/>
          <w:bCs/>
        </w:rPr>
        <w:t xml:space="preserve">$5B</w:t>
      </w:r>
      <w:r>
        <w:t xml:space="preserve"> </w:t>
      </w:r>
      <w:r>
        <w:t xml:space="preserve">in Anthropic subject to milestones.</w:t>
      </w:r>
    </w:p>
    <w:p>
      <w:pPr>
        <w:pStyle w:val="Compact"/>
        <w:numPr>
          <w:ilvl w:val="0"/>
          <w:numId w:val="1002"/>
        </w:numPr>
      </w:pPr>
      <w:r>
        <w:t xml:space="preserve">AMD also announced a Core Scientific partnership anchored by approximately</w:t>
      </w:r>
      <w:r>
        <w:t xml:space="preserve"> </w:t>
      </w:r>
      <w:r>
        <w:rPr>
          <w:b/>
          <w:bCs/>
        </w:rPr>
        <w:t xml:space="preserve">530 MW</w:t>
      </w:r>
      <w:r>
        <w:t xml:space="preserve"> </w:t>
      </w:r>
      <w:r>
        <w:t xml:space="preserve">of contracted capacity across five sites, with potential expansion to</w:t>
      </w:r>
      <w:r>
        <w:t xml:space="preserve"> </w:t>
      </w:r>
      <w:r>
        <w:rPr>
          <w:b/>
          <w:bCs/>
        </w:rPr>
        <w:t xml:space="preserve">2.5 GW</w:t>
      </w:r>
      <w:r>
        <w:t xml:space="preserve"> </w:t>
      </w:r>
      <w:r>
        <w:t xml:space="preserve">and more than</w:t>
      </w:r>
      <w:r>
        <w:t xml:space="preserve"> </w:t>
      </w:r>
      <w:r>
        <w:rPr>
          <w:b/>
          <w:bCs/>
        </w:rPr>
        <w:t xml:space="preserve">$14B of potential base contracted revenue</w:t>
      </w:r>
      <w:r>
        <w:t xml:space="preserve">.</w:t>
      </w:r>
    </w:p>
    <w:p>
      <w:pPr>
        <w:pStyle w:val="FirstParagraph"/>
      </w:pPr>
      <w:r>
        <w:t xml:space="preserve">These announcements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necessarily move 2Q revenue materially. They do, however, raise the bar for management to explain the conversion from agreements, capacity reservations, and co-engineering efforts into a durable revenue and margin trajectory.</w:t>
      </w:r>
    </w:p>
    <w:bookmarkEnd w:id="12"/>
    <w:bookmarkStart w:id="13" w:name="X05ae8067efb0a67359fe915a07b38733cf70c28"/>
    <w:p>
      <w:pPr>
        <w:pStyle w:val="Heading3"/>
      </w:pPr>
      <w:r>
        <w:t xml:space="preserve">3. Product execution has become more credible</w:t>
      </w:r>
    </w:p>
    <w:p>
      <w:pPr>
        <w:pStyle w:val="FirstParagraph"/>
      </w:pPr>
      <w:r>
        <w:t xml:space="preserve">The July event gave investors more visibility into the roadmap: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MI455 / Helios:</w:t>
      </w:r>
      <w:r>
        <w:t xml:space="preserve"> </w:t>
      </w:r>
      <w:r>
        <w:t xml:space="preserve">production system with late-3Q shipments and a 4Q ramp.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Venice EPYC:</w:t>
      </w:r>
      <w:r>
        <w:t xml:space="preserve"> </w:t>
      </w:r>
      <w:r>
        <w:t xml:space="preserve">in production, with broad OEM and cloud rollouts anticipated in 4Q.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ROCm software:</w:t>
      </w:r>
      <w:r>
        <w:t xml:space="preserve"> </w:t>
      </w:r>
      <w:r>
        <w:t xml:space="preserve">AMD emphasized faster release cycles, AI-assisted software development, and ecosystem support—central issues for competing in large-scale AI deployments.</w:t>
      </w:r>
    </w:p>
    <w:p>
      <w:pPr>
        <w:pStyle w:val="FirstParagraph"/>
      </w:pPr>
      <w:r>
        <w:t xml:space="preserve">This creates a favorable strategic backdrop. But it also means the upcoming call needs to provide operational specifics, not simply product claims.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2003a7f791cad1e741eb9e4ce2b5e01bc04cc8f"/>
    <w:p>
      <w:pPr>
        <w:pStyle w:val="Heading2"/>
      </w:pPr>
      <w:r>
        <w:t xml:space="preserve">The central debate: how much of 2027 is already visible?</w:t>
      </w:r>
    </w:p>
    <w:p>
      <w:pPr>
        <w:pStyle w:val="FirstParagraph"/>
      </w:pPr>
      <w:r>
        <w:t xml:space="preserve">AMD’s long-term AI opportunity is no longer just a GPU story. Management has repeatedly argued that agentic AI increases demand for both accelerators and server CPUs. At the July event, AMD raised its own 2030 market estimates to roughly: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$1.4T AI-accelerator TAM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More than $200B server-CPU TAM</w:t>
      </w:r>
    </w:p>
    <w:p>
      <w:pPr>
        <w:pStyle w:val="FirstParagraph"/>
      </w:pPr>
      <w:r>
        <w:t xml:space="preserve">Those numbers are aspirational market framing, not near-term financial guidance. Still, they explain why investors are likely to focus on AMD’s ability to capture a meaningful share of the buildout.</w:t>
      </w:r>
    </w:p>
    <w:p>
      <w:pPr>
        <w:pStyle w:val="BodyText"/>
      </w:pPr>
      <w:r>
        <w:t xml:space="preserve">The crucial earnings-call issue is therefore:</w:t>
      </w:r>
      <w:r>
        <w:t xml:space="preserve"> </w:t>
      </w:r>
      <w:r>
        <w:rPr>
          <w:b/>
          <w:bCs/>
        </w:rPr>
        <w:t xml:space="preserve">Does AMD provide evidence that customer demand is matched by secured supply and deployable customer infrastructure?</w:t>
      </w:r>
    </w:p>
    <w:p>
      <w:pPr>
        <w:pStyle w:val="BodyText"/>
      </w:pPr>
      <w:r>
        <w:t xml:space="preserve">Management previously acknowledged constraints across memory, packaging, data-center buildouts, and power availability, while stating it had secured sufficient supply to meet—and exceed—its plans. Confirmation of that stance, preferably with greater detail around the MI450/Helios ramp, would be a positive read-through.</w:t>
      </w:r>
    </w:p>
    <w:p>
      <w:r>
        <w:pict>
          <v:rect style="width:0;height:1.5pt" o:hralign="center" o:hrstd="t" o:hr="t"/>
        </w:pict>
      </w:r>
    </w:p>
    <w:bookmarkEnd w:id="15"/>
    <w:bookmarkStart w:id="22" w:name="what-investors-should-watch"/>
    <w:p>
      <w:pPr>
        <w:pStyle w:val="Heading2"/>
      </w:pPr>
      <w:r>
        <w:t xml:space="preserve">What investors should watch</w:t>
      </w:r>
    </w:p>
    <w:bookmarkStart w:id="16" w:name="Xcd11cf53d82d59928c64a07ba41d11e18c8bfda"/>
    <w:p>
      <w:pPr>
        <w:pStyle w:val="Heading3"/>
      </w:pPr>
      <w:r>
        <w:t xml:space="preserve">1. 3Q revenue outlook and implied Data Center growth</w:t>
      </w:r>
    </w:p>
    <w:p>
      <w:pPr>
        <w:pStyle w:val="FirstParagraph"/>
      </w:pPr>
      <w:r>
        <w:t xml:space="preserve">The most important number of the night may be the 3Q revenue guide rather than reported 2Q revenue.</w:t>
      </w:r>
    </w:p>
    <w:p>
      <w:pPr>
        <w:pStyle w:val="BodyText"/>
      </w:pPr>
      <w:r>
        <w:t xml:space="preserve">A constructive outlook would signal that:</w:t>
      </w:r>
    </w:p>
    <w:p>
      <w:pPr>
        <w:pStyle w:val="Compact"/>
        <w:numPr>
          <w:ilvl w:val="0"/>
          <w:numId w:val="1005"/>
        </w:numPr>
      </w:pPr>
      <w:r>
        <w:t xml:space="preserve">server-CPU demand remains strong;</w:t>
      </w:r>
    </w:p>
    <w:p>
      <w:pPr>
        <w:pStyle w:val="Compact"/>
        <w:numPr>
          <w:ilvl w:val="0"/>
          <w:numId w:val="1005"/>
        </w:numPr>
      </w:pPr>
      <w:r>
        <w:t xml:space="preserve">MI355 demand is holding up ahead of MI450;</w:t>
      </w:r>
    </w:p>
    <w:p>
      <w:pPr>
        <w:pStyle w:val="Compact"/>
        <w:numPr>
          <w:ilvl w:val="0"/>
          <w:numId w:val="1005"/>
        </w:numPr>
      </w:pPr>
      <w:r>
        <w:t xml:space="preserve">initial Helios shipments begin as planned late in 3Q; and</w:t>
      </w:r>
    </w:p>
    <w:p>
      <w:pPr>
        <w:pStyle w:val="Compact"/>
        <w:numPr>
          <w:ilvl w:val="0"/>
          <w:numId w:val="1005"/>
        </w:numPr>
      </w:pPr>
      <w:r>
        <w:t xml:space="preserve">any consumer-PC or gaming softness is being more than offset by Data Center.</w:t>
      </w:r>
    </w:p>
    <w:bookmarkEnd w:id="16"/>
    <w:bookmarkStart w:id="17" w:name="X287b6ecbd32c211c1af51a01ea9708e67e39de3"/>
    <w:p>
      <w:pPr>
        <w:pStyle w:val="Heading3"/>
      </w:pPr>
      <w:r>
        <w:t xml:space="preserve">2. MI450 / Helios timing and 4Q ramp magnitude</w:t>
      </w:r>
    </w:p>
    <w:p>
      <w:pPr>
        <w:pStyle w:val="FirstParagraph"/>
      </w:pPr>
      <w:r>
        <w:t xml:space="preserve">AMD had previously framed 2H26 as beginning with initial Helios volume in 3Q and a</w:t>
      </w:r>
      <w:r>
        <w:t xml:space="preserve"> </w:t>
      </w:r>
      <w:r>
        <w:rPr>
          <w:b/>
          <w:bCs/>
        </w:rPr>
        <w:t xml:space="preserve">significant ramp in 4Q</w:t>
      </w:r>
      <w:r>
        <w:t xml:space="preserve">. Investors will want clarity on:</w:t>
      </w:r>
    </w:p>
    <w:p>
      <w:pPr>
        <w:pStyle w:val="Compact"/>
        <w:numPr>
          <w:ilvl w:val="0"/>
          <w:numId w:val="1006"/>
        </w:numPr>
      </w:pPr>
      <w:r>
        <w:t xml:space="preserve">whether first customer shipments remain on schedule;</w:t>
      </w:r>
    </w:p>
    <w:p>
      <w:pPr>
        <w:pStyle w:val="Compact"/>
        <w:numPr>
          <w:ilvl w:val="0"/>
          <w:numId w:val="1006"/>
        </w:numPr>
      </w:pPr>
      <w:r>
        <w:t xml:space="preserve">whether ramp conditions are supply-limited or customer-site-limited;</w:t>
      </w:r>
    </w:p>
    <w:p>
      <w:pPr>
        <w:pStyle w:val="Compact"/>
        <w:numPr>
          <w:ilvl w:val="0"/>
          <w:numId w:val="1006"/>
        </w:numPr>
      </w:pPr>
      <w:r>
        <w:t xml:space="preserve">how quickly MI450/Helios revenue becomes meaningful;</w:t>
      </w:r>
    </w:p>
    <w:p>
      <w:pPr>
        <w:pStyle w:val="Compact"/>
        <w:numPr>
          <w:ilvl w:val="0"/>
          <w:numId w:val="1006"/>
        </w:numPr>
      </w:pPr>
      <w:r>
        <w:t xml:space="preserve">whether early deployments are concentrated among a few strategic customers; and</w:t>
      </w:r>
    </w:p>
    <w:p>
      <w:pPr>
        <w:pStyle w:val="Compact"/>
        <w:numPr>
          <w:ilvl w:val="0"/>
          <w:numId w:val="1006"/>
        </w:numPr>
      </w:pPr>
      <w:r>
        <w:t xml:space="preserve">what level of 2027 capacity is already committed.</w:t>
      </w:r>
    </w:p>
    <w:p>
      <w:pPr>
        <w:pStyle w:val="FirstParagraph"/>
      </w:pPr>
      <w:r>
        <w:t xml:space="preserve">A timing slip would likely matter more to the stock than a small quarterly revenue variance.</w:t>
      </w:r>
    </w:p>
    <w:bookmarkEnd w:id="17"/>
    <w:bookmarkStart w:id="18" w:name="X8fafff083220280da314afeb55058afcad98f77"/>
    <w:p>
      <w:pPr>
        <w:pStyle w:val="Heading3"/>
      </w:pPr>
      <w:r>
        <w:t xml:space="preserve">3. GPU gross margin</w:t>
      </w:r>
    </w:p>
    <w:p>
      <w:pPr>
        <w:pStyle w:val="FirstParagraph"/>
      </w:pPr>
      <w:r>
        <w:t xml:space="preserve">Management has been clear that MI450 is initially</w:t>
      </w:r>
      <w:r>
        <w:t xml:space="preserve"> </w:t>
      </w:r>
      <w:r>
        <w:rPr>
          <w:b/>
          <w:bCs/>
        </w:rPr>
        <w:t xml:space="preserve">below corporate-average gross margin</w:t>
      </w:r>
      <w:r>
        <w:t xml:space="preserve">. That makes the gross-margin outlook a key quality-of-growth issue.</w:t>
      </w:r>
    </w:p>
    <w:p>
      <w:pPr>
        <w:pStyle w:val="BodyText"/>
      </w:pPr>
      <w:r>
        <w:t xml:space="preserve">The offset is favorable mix elsewhere:</w:t>
      </w:r>
    </w:p>
    <w:p>
      <w:pPr>
        <w:pStyle w:val="Compact"/>
        <w:numPr>
          <w:ilvl w:val="0"/>
          <w:numId w:val="1007"/>
        </w:numPr>
      </w:pPr>
      <w:r>
        <w:t xml:space="preserve">strong server-CPU growth;</w:t>
      </w:r>
    </w:p>
    <w:p>
      <w:pPr>
        <w:pStyle w:val="Compact"/>
        <w:numPr>
          <w:ilvl w:val="0"/>
          <w:numId w:val="1007"/>
        </w:numPr>
      </w:pPr>
      <w:r>
        <w:t xml:space="preserve">lower gaming exposure in the second half;</w:t>
      </w:r>
    </w:p>
    <w:p>
      <w:pPr>
        <w:pStyle w:val="Compact"/>
        <w:numPr>
          <w:ilvl w:val="0"/>
          <w:numId w:val="1007"/>
        </w:numPr>
      </w:pPr>
      <w:r>
        <w:t xml:space="preserve">improving Client mix; and</w:t>
      </w:r>
    </w:p>
    <w:p>
      <w:pPr>
        <w:pStyle w:val="Compact"/>
        <w:numPr>
          <w:ilvl w:val="0"/>
          <w:numId w:val="1007"/>
        </w:numPr>
      </w:pPr>
      <w:r>
        <w:t xml:space="preserve">Embedded’s accretive profitability.</w:t>
      </w:r>
    </w:p>
    <w:p>
      <w:pPr>
        <w:pStyle w:val="FirstParagraph"/>
      </w:pPr>
      <w:r>
        <w:t xml:space="preserve">For investors, the ideal message is not necessarily immediate margin expansion during the Helios ramp. Rather, it is</w:t>
      </w:r>
      <w:r>
        <w:t xml:space="preserve"> </w:t>
      </w:r>
      <w:r>
        <w:rPr>
          <w:b/>
          <w:bCs/>
        </w:rPr>
        <w:t xml:space="preserve">confidence that scale, manufacturing learning, product mix, and pricing can lift AI-GPU profitability over time while company gross margin remains within AMD’s 55%–58% long-term framework.</w:t>
      </w:r>
    </w:p>
    <w:bookmarkEnd w:id="18"/>
    <w:bookmarkStart w:id="19" w:name="Xb6e03bc23832c6565d61c3956b14597ea4eb66d"/>
    <w:p>
      <w:pPr>
        <w:pStyle w:val="Heading3"/>
      </w:pPr>
      <w:r>
        <w:t xml:space="preserve">4. EPYC: unit growth, share gains, and Venice demand</w:t>
      </w:r>
    </w:p>
    <w:p>
      <w:pPr>
        <w:pStyle w:val="FirstParagraph"/>
      </w:pPr>
      <w:r>
        <w:t xml:space="preserve">The CPU business could be the underappreciated near-term catalyst. Watch for commentary on:</w:t>
      </w:r>
    </w:p>
    <w:p>
      <w:pPr>
        <w:pStyle w:val="Compact"/>
        <w:numPr>
          <w:ilvl w:val="0"/>
          <w:numId w:val="1008"/>
        </w:numPr>
      </w:pPr>
      <w:r>
        <w:t xml:space="preserve">cloud and enterprise server demand;</w:t>
      </w:r>
    </w:p>
    <w:p>
      <w:pPr>
        <w:pStyle w:val="Compact"/>
        <w:numPr>
          <w:ilvl w:val="0"/>
          <w:numId w:val="1008"/>
        </w:numPr>
      </w:pPr>
      <w:r>
        <w:t xml:space="preserve">Turin mix and ASP trends;</w:t>
      </w:r>
    </w:p>
    <w:p>
      <w:pPr>
        <w:pStyle w:val="Compact"/>
        <w:numPr>
          <w:ilvl w:val="0"/>
          <w:numId w:val="1008"/>
        </w:numPr>
      </w:pPr>
      <w:r>
        <w:t xml:space="preserve">customer validation and early demand for Venice;</w:t>
      </w:r>
    </w:p>
    <w:p>
      <w:pPr>
        <w:pStyle w:val="Compact"/>
        <w:numPr>
          <w:ilvl w:val="0"/>
          <w:numId w:val="1008"/>
        </w:numPr>
      </w:pPr>
      <w:r>
        <w:t xml:space="preserve">competitive dynamics versus Intel and ARM-based alternatives; and</w:t>
      </w:r>
    </w:p>
    <w:p>
      <w:pPr>
        <w:pStyle w:val="Compact"/>
        <w:numPr>
          <w:ilvl w:val="0"/>
          <w:numId w:val="1008"/>
        </w:numPr>
      </w:pPr>
      <w:r>
        <w:t xml:space="preserve">whether AMD maintains confidence in outsized server-CPU growth through 2H26 and into 2027.</w:t>
      </w:r>
    </w:p>
    <w:bookmarkEnd w:id="19"/>
    <w:bookmarkStart w:id="20" w:name="X534b9e71b24cf9eee14db13a6fcaa644b405b6a"/>
    <w:p>
      <w:pPr>
        <w:pStyle w:val="Heading3"/>
      </w:pPr>
      <w:r>
        <w:t xml:space="preserve">5. Client and Gaming downside from memory inflation</w:t>
      </w:r>
    </w:p>
    <w:p>
      <w:pPr>
        <w:pStyle w:val="FirstParagraph"/>
      </w:pPr>
      <w:r>
        <w:t xml:space="preserve">AMD has already telegraphed softer second-half conditions for PCs and gaming because of higher memory and component costs. It expects Client revenue to grow year over year and outperform the market, but also expects second-half gaming revenue to decline more than 20% versus the first half.</w:t>
      </w:r>
    </w:p>
    <w:p>
      <w:pPr>
        <w:pStyle w:val="BodyText"/>
      </w:pPr>
      <w:r>
        <w:t xml:space="preserve">This is not likely to be the main investment debate, but worse-than-expected consumer weakness could pressure mix and complicate the headline growth narrative.</w:t>
      </w:r>
    </w:p>
    <w:bookmarkEnd w:id="20"/>
    <w:bookmarkStart w:id="21" w:name="X316f6a0457632cf85fee9c561b0dc71336913f5"/>
    <w:p>
      <w:pPr>
        <w:pStyle w:val="Heading3"/>
      </w:pPr>
      <w:r>
        <w:t xml:space="preserve">6. Cash commitments and “circular financing” concerns</w:t>
      </w:r>
    </w:p>
    <w:p>
      <w:pPr>
        <w:pStyle w:val="FirstParagraph"/>
      </w:pPr>
      <w:r>
        <w:t xml:space="preserve">The Anthropic arrangement includes a potential</w:t>
      </w:r>
      <w:r>
        <w:t xml:space="preserve"> </w:t>
      </w:r>
      <w:r>
        <w:rPr>
          <w:b/>
          <w:bCs/>
        </w:rPr>
        <w:t xml:space="preserve">$5B AMD investment</w:t>
      </w:r>
      <w:r>
        <w:t xml:space="preserve">, and press reports have raised questions around broader AI-infrastructure financing structures. Investors should listen for:</w:t>
      </w:r>
    </w:p>
    <w:p>
      <w:pPr>
        <w:pStyle w:val="Compact"/>
        <w:numPr>
          <w:ilvl w:val="0"/>
          <w:numId w:val="1009"/>
        </w:numPr>
      </w:pPr>
      <w:r>
        <w:t xml:space="preserve">the timing and conditions of AMD’s investment;</w:t>
      </w:r>
    </w:p>
    <w:p>
      <w:pPr>
        <w:pStyle w:val="Compact"/>
        <w:numPr>
          <w:ilvl w:val="0"/>
          <w:numId w:val="1009"/>
        </w:numPr>
      </w:pPr>
      <w:r>
        <w:t xml:space="preserve">whether commitments are cash, equity, warrants, or contingent arrangements;</w:t>
      </w:r>
    </w:p>
    <w:p>
      <w:pPr>
        <w:pStyle w:val="Compact"/>
        <w:numPr>
          <w:ilvl w:val="0"/>
          <w:numId w:val="1009"/>
        </w:numPr>
      </w:pPr>
      <w:r>
        <w:t xml:space="preserve">the company’s capital-allocation priorities; and</w:t>
      </w:r>
    </w:p>
    <w:p>
      <w:pPr>
        <w:pStyle w:val="Compact"/>
        <w:numPr>
          <w:ilvl w:val="0"/>
          <w:numId w:val="1009"/>
        </w:numPr>
      </w:pPr>
      <w:r>
        <w:t xml:space="preserve">whether customer financing or site-capacity commitments introduce greater execution or credit risk.</w:t>
      </w:r>
    </w:p>
    <w:p>
      <w:pPr>
        <w:pStyle w:val="FirstParagraph"/>
      </w:pPr>
      <w:r>
        <w:t xml:space="preserve">AMD’s balance sheet is strong—at the end of 1Q it had</w:t>
      </w:r>
      <w:r>
        <w:t xml:space="preserve"> </w:t>
      </w:r>
      <w:r>
        <w:rPr>
          <w:b/>
          <w:bCs/>
        </w:rPr>
        <w:t xml:space="preserve">$12.3B in cash, cash equivalents, and short-term investments</w:t>
      </w:r>
      <w:r>
        <w:t xml:space="preserve">—but this topic deserves attention as AI infrastructure deals become larger and more interconnected.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bull-case"/>
    <w:p>
      <w:pPr>
        <w:pStyle w:val="Heading2"/>
      </w:pPr>
      <w:r>
        <w:t xml:space="preserve">Bull case</w:t>
      </w:r>
    </w:p>
    <w:p>
      <w:pPr>
        <w:pStyle w:val="FirstParagraph"/>
      </w:pPr>
      <w:r>
        <w:t xml:space="preserve">The bullish interpretation of this earnings setup is:</w:t>
      </w:r>
    </w:p>
    <w:p>
      <w:pPr>
        <w:pStyle w:val="Compact"/>
        <w:numPr>
          <w:ilvl w:val="0"/>
          <w:numId w:val="1010"/>
        </w:numPr>
      </w:pPr>
      <w:r>
        <w:t xml:space="preserve">AMD meets or exceeds its already robust 2Q guide;</w:t>
      </w:r>
    </w:p>
    <w:p>
      <w:pPr>
        <w:pStyle w:val="Compact"/>
        <w:numPr>
          <w:ilvl w:val="0"/>
          <w:numId w:val="1010"/>
        </w:numPr>
      </w:pPr>
      <w:r>
        <w:t xml:space="preserve">Data Center growth accelerates again, led by server CPUs and Instinct;</w:t>
      </w:r>
    </w:p>
    <w:p>
      <w:pPr>
        <w:pStyle w:val="Compact"/>
        <w:numPr>
          <w:ilvl w:val="0"/>
          <w:numId w:val="1010"/>
        </w:numPr>
      </w:pPr>
      <w:r>
        <w:t xml:space="preserve">the company guides 3Q above expectations;</w:t>
      </w:r>
    </w:p>
    <w:p>
      <w:pPr>
        <w:pStyle w:val="Compact"/>
        <w:numPr>
          <w:ilvl w:val="0"/>
          <w:numId w:val="1010"/>
        </w:numPr>
      </w:pPr>
      <w:r>
        <w:t xml:space="preserve">Helios shipments remain on track for late 3Q with a clear 4Q ramp;</w:t>
      </w:r>
    </w:p>
    <w:p>
      <w:pPr>
        <w:pStyle w:val="Compact"/>
        <w:numPr>
          <w:ilvl w:val="0"/>
          <w:numId w:val="1010"/>
        </w:numPr>
      </w:pPr>
      <w:r>
        <w:t xml:space="preserve">management communicates that customer demand and supply commitments support substantial 2027 AI revenue growth; and</w:t>
      </w:r>
    </w:p>
    <w:p>
      <w:pPr>
        <w:pStyle w:val="Compact"/>
        <w:numPr>
          <w:ilvl w:val="0"/>
          <w:numId w:val="1010"/>
        </w:numPr>
      </w:pPr>
      <w:r>
        <w:t xml:space="preserve">gross-margin commentary demonstrates that AI-GPU dilution is temporary and manageable.</w:t>
      </w:r>
    </w:p>
    <w:p>
      <w:pPr>
        <w:pStyle w:val="FirstParagraph"/>
      </w:pPr>
      <w:r>
        <w:t xml:space="preserve">In this outcome, the market could increasingly value AMD as a diversified AI-infrastructure supplier—CPUs, GPUs, networking, systems, and software—rather than solely as a challenger in discrete AI accelerators.</w:t>
      </w:r>
    </w:p>
    <w:p>
      <w:r>
        <w:pict>
          <v:rect style="width:0;height:1.5pt" o:hralign="center" o:hrstd="t" o:hr="t"/>
        </w:pict>
      </w:r>
    </w:p>
    <w:bookmarkEnd w:id="23"/>
    <w:bookmarkStart w:id="24" w:name="bear-case"/>
    <w:p>
      <w:pPr>
        <w:pStyle w:val="Heading2"/>
      </w:pPr>
      <w:r>
        <w:t xml:space="preserve">Bear case</w:t>
      </w:r>
    </w:p>
    <w:p>
      <w:pPr>
        <w:pStyle w:val="FirstParagraph"/>
      </w:pPr>
      <w:r>
        <w:t xml:space="preserve">The downside scenario is less about a weak June quarter and more about execution ambiguity:</w:t>
      </w:r>
    </w:p>
    <w:p>
      <w:pPr>
        <w:pStyle w:val="Compact"/>
        <w:numPr>
          <w:ilvl w:val="0"/>
          <w:numId w:val="1011"/>
        </w:numPr>
      </w:pPr>
      <w:r>
        <w:t xml:space="preserve">3Q guidance implies a slower-than-expected Data Center trajectory;</w:t>
      </w:r>
    </w:p>
    <w:p>
      <w:pPr>
        <w:pStyle w:val="Compact"/>
        <w:numPr>
          <w:ilvl w:val="0"/>
          <w:numId w:val="1011"/>
        </w:numPr>
      </w:pPr>
      <w:r>
        <w:t xml:space="preserve">MI450 or Helios ramps are delayed, supply constrained, or dependent on unresolved customer-site readiness;</w:t>
      </w:r>
    </w:p>
    <w:p>
      <w:pPr>
        <w:pStyle w:val="Compact"/>
        <w:numPr>
          <w:ilvl w:val="0"/>
          <w:numId w:val="1011"/>
        </w:numPr>
      </w:pPr>
      <w:r>
        <w:t xml:space="preserve">Data Center AI revenue does not inflect before 4Q;</w:t>
      </w:r>
    </w:p>
    <w:p>
      <w:pPr>
        <w:pStyle w:val="Compact"/>
        <w:numPr>
          <w:ilvl w:val="0"/>
          <w:numId w:val="1011"/>
        </w:numPr>
      </w:pPr>
      <w:r>
        <w:t xml:space="preserve">gross margin falls more sharply than investors expect as AI-GPU shipments begin;</w:t>
      </w:r>
    </w:p>
    <w:p>
      <w:pPr>
        <w:pStyle w:val="Compact"/>
        <w:numPr>
          <w:ilvl w:val="0"/>
          <w:numId w:val="1011"/>
        </w:numPr>
      </w:pPr>
      <w:r>
        <w:t xml:space="preserve">PC, gaming, or China-related headwinds become more pronounced; or</w:t>
      </w:r>
    </w:p>
    <w:p>
      <w:pPr>
        <w:pStyle w:val="Compact"/>
        <w:numPr>
          <w:ilvl w:val="0"/>
          <w:numId w:val="1011"/>
        </w:numPr>
      </w:pPr>
      <w:r>
        <w:t xml:space="preserve">investors become more concerned that AI agreements are long-dated, conditional, or accompanied by costly financing commitments.</w:t>
      </w:r>
    </w:p>
    <w:p>
      <w:pPr>
        <w:pStyle w:val="FirstParagraph"/>
      </w:pPr>
      <w:r>
        <w:t xml:space="preserve">Given the magnitude of recently announced AI partnerships,</w:t>
      </w:r>
      <w:r>
        <w:t xml:space="preserve"> </w:t>
      </w:r>
      <w:r>
        <w:rPr>
          <w:b/>
          <w:bCs/>
        </w:rPr>
        <w:t xml:space="preserve">the risk is that expectations for 2027 have moved faster than the company’s near-term financial disclosures can validate.</w:t>
      </w:r>
    </w:p>
    <w:p>
      <w:r>
        <w:pict>
          <v:rect style="width:0;height:1.5pt" o:hralign="center" o:hrstd="t" o:hr="t"/>
        </w:pict>
      </w:r>
    </w:p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AMD’s 2Q26 report is a</w:t>
      </w:r>
      <w:r>
        <w:t xml:space="preserve"> </w:t>
      </w:r>
      <w:r>
        <w:rPr>
          <w:b/>
          <w:bCs/>
        </w:rPr>
        <w:t xml:space="preserve">proof-of-execution</w:t>
      </w:r>
      <w:r>
        <w:t xml:space="preserve"> </w:t>
      </w:r>
      <w:r>
        <w:t xml:space="preserve">event. The company has established an attractive strategic narrative: accelerating EPYC demand, major AI-customer relationships, Helios production, a more mature software stack, and a substantially larger perceived CPU and accelerator opportunity.</w:t>
      </w:r>
    </w:p>
    <w:p>
      <w:pPr>
        <w:pStyle w:val="BodyText"/>
      </w:pPr>
      <w:r>
        <w:t xml:space="preserve">To sustain that narrative, AMD needs to do more than post a beat. It needs to show that the</w:t>
      </w:r>
      <w:r>
        <w:t xml:space="preserve"> </w:t>
      </w:r>
      <w:r>
        <w:rPr>
          <w:b/>
          <w:bCs/>
        </w:rPr>
        <w:t xml:space="preserve">late-2026 Helios ramp is real, supply-backed, economically attractive, and capable of becoming a major 2027 revenue driver</w:t>
      </w:r>
      <w:r>
        <w:t xml:space="preserve">—while EPYC continues to provide a powerful, higher-margin growth engine.</w:t>
      </w:r>
    </w:p>
    <w:p>
      <w:pPr>
        <w:pStyle w:val="BodyText"/>
      </w:pPr>
      <w:r>
        <w:rPr>
          <w:b/>
          <w:bCs/>
        </w:rPr>
        <w:t xml:space="preserve">Most important watch item:</w:t>
      </w:r>
      <w:r>
        <w:t xml:space="preserve"> </w:t>
      </w:r>
      <w:r>
        <w:t xml:space="preserve">3Q guidance and the specificity of management’s commentary on 4Q Helios/MI450 shipments, 2027 capacity, and gross-margin progression.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2026-08-04T01:48:29Z</dcterms:created>
  <dcterms:modified xsi:type="dcterms:W3CDTF">2026-08-04T01:48:29Z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