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Advanced Micro Devices (AMD)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Advanced Micro Devices, Inc.</w:t>
            </w:r>
          </w:p>
        </w:tc>
      </w:tr>
      <w:tr>
        <w:tc>
          <w:tcPr>
            <w:tcW w:type="dxa" w:w="4320"/>
          </w:tcPr>
          <w:p>
            <w:r>
              <w:rPr>
                <w:rFonts w:ascii="Calibri" w:hAnsi="Calibri"/>
                <w:b/>
                <w:sz w:val="22"/>
              </w:rPr>
              <w:t>Ticker</w:t>
            </w:r>
          </w:p>
        </w:tc>
        <w:tc>
          <w:tcPr>
            <w:tcW w:type="dxa" w:w="4320"/>
          </w:tcPr>
          <w:p>
            <w:r>
              <w:rPr>
                <w:rFonts w:ascii="Calibri" w:hAnsi="Calibri"/>
                <w:sz w:val="22"/>
              </w:rPr>
              <w:t>AMD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After Market Close (5:00 PM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sits at the low end of AMD’s own guidance range and estimates have been drifting higher since the Q1 print, but the single biggest swing factor is whether Data Center AI revenue can clear the implied ~$6.6B bar while Helios shipment timing is confirmed for Q3.</w:t>
      </w:r>
    </w:p>
    <w:p>
      <w:r>
        <w:rPr>
          <w:rFonts w:ascii="Calibri" w:hAnsi="Calibri"/>
          <w:color w:val="525866"/>
          <w:sz w:val="22"/>
        </w:rPr>
        <w:t xml:space="preserve">AMD heads into Q2 2026 earnings with one of the cleaner setups in semiconductors: management guided revenue to $11.2B ±$300M and non-GAAP gross margin to ~56%, and the current consensus of ~$11.3B sits just above the midpoint, leaving a modest but achievable beat threshold. </w:t>
      </w:r>
      <w:r>
        <w:rPr>
          <w:rFonts w:ascii="Calibri" w:hAnsi="Calibri"/>
          <w:b/>
          <w:color w:val="525866"/>
          <w:sz w:val="22"/>
        </w:rPr>
        <w:t>The Data Center segment is the dominant swing factor</w:t>
      </w:r>
      <w:r>
        <w:rPr>
          <w:rFonts w:ascii="Calibri" w:hAnsi="Calibri"/>
          <w:color w:val="525866"/>
          <w:sz w:val="22"/>
        </w:rPr>
        <w:t xml:space="preserve"> — consensus expects ~$6.6B, implying roughly 46% year-over-year growth and double-digit sequential expansion in both server CPU and AI GPU revenue, consistent with management’s own Q2 commentary. Estimate revisions have been constructive since the May 5 print, with Q2 revenue consensus rising from ~$11.27B to ~$11.34B and non-GAAP EPS moving from ~$1.60 to ~$1.61, suggesting the Street has been gradually marking numbers higher on the back of the Advancing AI 2026 event (July 23) and the Anthropic partnership announcement (July 22). </w:t>
      </w:r>
      <w:r>
        <w:rPr>
          <w:rFonts w:ascii="Calibri" w:hAnsi="Calibri"/>
          <w:b/>
          <w:color w:val="525866"/>
          <w:sz w:val="22"/>
        </w:rPr>
        <w:t>The stock has surged ~36% since last earnings</w:t>
      </w:r>
      <w:r>
        <w:rPr>
          <w:rFonts w:ascii="Calibri" w:hAnsi="Calibri"/>
          <w:color w:val="525866"/>
          <w:sz w:val="22"/>
        </w:rPr>
        <w:t xml:space="preserve"> (from $355 to ~$485 as of August 3), meaningfully outperforming SOXX (+5%) and the S&amp;P 500 (+5%), with the bulk of the move driven by multiple expansion rather than estimate revisions alone — NTM EV/EBITDA has compressed from ~42x to ~34x as earnings have caught up, but the stock still embeds high expectations. The key wildcard is </w:t>
      </w:r>
      <w:r>
        <w:rPr>
          <w:rFonts w:ascii="Calibri" w:hAnsi="Calibri"/>
          <w:b/>
          <w:color w:val="525866"/>
          <w:sz w:val="22"/>
        </w:rPr>
        <w:t>Helios shipment confirmation and the Q3 revenue guide</w:t>
      </w:r>
      <w:r>
        <w:rPr>
          <w:rFonts w:ascii="Calibri" w:hAnsi="Calibri"/>
          <w:color w:val="525866"/>
          <w:sz w:val="22"/>
        </w:rPr>
        <w:t>: if management confirms initial Helios volume in Q3 with a significant Q4 ramp and raises the full-year Data Center AI trajectory, the stock can sustain its premium; any slip in Helios timing or a cautious Q3 guide would be the primary downside risk given the elevated multiple.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but achievable bar — the $11.3B revenue estimate sits just above the guidance midpoint, and the ~$6.6B Data Center estimate is the bigger swing factor; a beat there drives the stock, a miss there sinks it.</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$10.25B</w:t>
            </w:r>
          </w:p>
        </w:tc>
        <w:tc>
          <w:tcPr>
            <w:tcW w:type="dxa" w:w="1234"/>
          </w:tcPr>
          <w:p>
            <w:r>
              <w:rPr>
                <w:rFonts w:ascii="Calibri" w:hAnsi="Calibri"/>
                <w:sz w:val="22"/>
              </w:rPr>
              <w:t>$7.69B</w:t>
            </w:r>
          </w:p>
        </w:tc>
        <w:tc>
          <w:tcPr>
            <w:tcW w:type="dxa" w:w="1234"/>
          </w:tcPr>
          <w:p>
            <w:r>
              <w:rPr>
                <w:rFonts w:ascii="Calibri" w:hAnsi="Calibri"/>
                <w:sz w:val="22"/>
              </w:rPr>
              <w:t>$11.35B</w:t>
            </w:r>
          </w:p>
        </w:tc>
        <w:tc>
          <w:tcPr>
            <w:tcW w:type="dxa" w:w="1234"/>
          </w:tcPr>
          <w:p>
            <w:r>
              <w:rPr>
                <w:rFonts w:ascii="Calibri" w:hAnsi="Calibri"/>
                <w:sz w:val="22"/>
              </w:rPr>
              <w:t>+47.7%</w:t>
            </w:r>
          </w:p>
        </w:tc>
        <w:tc>
          <w:tcPr>
            <w:tcW w:type="dxa" w:w="1234"/>
          </w:tcPr>
          <w:p>
            <w:r>
              <w:rPr>
                <w:rFonts w:ascii="Calibri" w:hAnsi="Calibri"/>
                <w:sz w:val="22"/>
              </w:rPr>
              <w:t>$11.20B</w:t>
            </w:r>
          </w:p>
        </w:tc>
        <w:tc>
          <w:tcPr>
            <w:tcW w:type="dxa" w:w="1234"/>
          </w:tcPr>
          <w:p>
            <w:r>
              <w:rPr>
                <w:rFonts w:ascii="Calibri" w:hAnsi="Calibri"/>
                <w:sz w:val="22"/>
              </w:rPr>
              <w:t>+1.3%</w:t>
            </w:r>
          </w:p>
        </w:tc>
      </w:tr>
      <w:tr>
        <w:tc>
          <w:tcPr>
            <w:tcW w:type="dxa" w:w="1234"/>
          </w:tcPr>
          <w:p>
            <w:r>
              <w:rPr>
                <w:rFonts w:ascii="Calibri" w:hAnsi="Calibri"/>
                <w:sz w:val="22"/>
              </w:rPr>
              <w:t>Data Center Revenue ($B)</w:t>
            </w:r>
          </w:p>
        </w:tc>
        <w:tc>
          <w:tcPr>
            <w:tcW w:type="dxa" w:w="1234"/>
          </w:tcPr>
          <w:p>
            <w:r>
              <w:rPr>
                <w:rFonts w:ascii="Calibri" w:hAnsi="Calibri"/>
                <w:sz w:val="22"/>
              </w:rPr>
              <w:t>$5.78B</w:t>
            </w:r>
          </w:p>
        </w:tc>
        <w:tc>
          <w:tcPr>
            <w:tcW w:type="dxa" w:w="1234"/>
          </w:tcPr>
          <w:p>
            <w:r>
              <w:rPr>
                <w:rFonts w:ascii="Calibri" w:hAnsi="Calibri"/>
                <w:sz w:val="22"/>
              </w:rPr>
              <w:t>$3.24B</w:t>
            </w:r>
          </w:p>
        </w:tc>
        <w:tc>
          <w:tcPr>
            <w:tcW w:type="dxa" w:w="1234"/>
          </w:tcPr>
          <w:p>
            <w:r>
              <w:rPr>
                <w:rFonts w:ascii="Calibri" w:hAnsi="Calibri"/>
                <w:sz w:val="22"/>
              </w:rPr>
              <w:t>$6.64B</w:t>
            </w:r>
          </w:p>
        </w:tc>
        <w:tc>
          <w:tcPr>
            <w:tcW w:type="dxa" w:w="1234"/>
          </w:tcPr>
          <w:p>
            <w:r>
              <w:rPr>
                <w:rFonts w:ascii="Calibri" w:hAnsi="Calibri"/>
                <w:sz w:val="22"/>
              </w:rPr>
              <w:t>+104.9%</w:t>
            </w:r>
          </w:p>
        </w:tc>
        <w:tc>
          <w:tcPr>
            <w:tcW w:type="dxa" w:w="1234"/>
          </w:tcPr>
          <w:p>
            <w:r>
              <w:rPr>
                <w:rFonts w:ascii="Calibri" w:hAnsi="Calibri"/>
                <w:sz w:val="22"/>
              </w:rPr>
              <w:t>N/A (segment not guided)</w:t>
            </w:r>
          </w:p>
        </w:tc>
        <w:tc>
          <w:tcPr>
            <w:tcW w:type="dxa" w:w="1234"/>
          </w:tcPr>
          <w:p>
            <w:r>
              <w:rPr>
                <w:rFonts w:ascii="Calibri" w:hAnsi="Calibri"/>
                <w:sz w:val="22"/>
              </w:rPr>
              <w:t>N/A</w:t>
            </w:r>
          </w:p>
        </w:tc>
      </w:tr>
      <w:tr>
        <w:tc>
          <w:tcPr>
            <w:tcW w:type="dxa" w:w="1234"/>
          </w:tcPr>
          <w:p>
            <w:r>
              <w:rPr>
                <w:rFonts w:ascii="Calibri" w:hAnsi="Calibri"/>
                <w:sz w:val="22"/>
              </w:rPr>
              <w:t>Non-GAAP EPS (Diluted)</w:t>
            </w:r>
          </w:p>
        </w:tc>
        <w:tc>
          <w:tcPr>
            <w:tcW w:type="dxa" w:w="1234"/>
          </w:tcPr>
          <w:p>
            <w:r>
              <w:rPr>
                <w:rFonts w:ascii="Calibri" w:hAnsi="Calibri"/>
                <w:sz w:val="22"/>
              </w:rPr>
              <w:t>$1.37</w:t>
            </w:r>
          </w:p>
        </w:tc>
        <w:tc>
          <w:tcPr>
            <w:tcW w:type="dxa" w:w="1234"/>
          </w:tcPr>
          <w:p>
            <w:r>
              <w:rPr>
                <w:rFonts w:ascii="Calibri" w:hAnsi="Calibri"/>
                <w:sz w:val="22"/>
              </w:rPr>
              <w:t>$0.48</w:t>
            </w:r>
          </w:p>
        </w:tc>
        <w:tc>
          <w:tcPr>
            <w:tcW w:type="dxa" w:w="1234"/>
          </w:tcPr>
          <w:p>
            <w:r>
              <w:rPr>
                <w:rFonts w:ascii="Calibri" w:hAnsi="Calibri"/>
                <w:sz w:val="22"/>
              </w:rPr>
              <w:t>$1.61</w:t>
            </w:r>
          </w:p>
        </w:tc>
        <w:tc>
          <w:tcPr>
            <w:tcW w:type="dxa" w:w="1234"/>
          </w:tcPr>
          <w:p>
            <w:r>
              <w:rPr>
                <w:rFonts w:ascii="Calibri" w:hAnsi="Calibri"/>
                <w:sz w:val="22"/>
              </w:rPr>
              <w:t>+235.4%</w:t>
            </w:r>
          </w:p>
        </w:tc>
        <w:tc>
          <w:tcPr>
            <w:tcW w:type="dxa" w:w="1234"/>
          </w:tcPr>
          <w:p>
            <w:r>
              <w:rPr>
                <w:rFonts w:ascii="Calibri" w:hAnsi="Calibri"/>
                <w:sz w:val="22"/>
              </w:rPr>
              <w:t>N/A (not guided directly)</w:t>
            </w:r>
          </w:p>
        </w:tc>
        <w:tc>
          <w:tcPr>
            <w:tcW w:type="dxa" w:w="1234"/>
          </w:tcPr>
          <w:p>
            <w:r>
              <w:rPr>
                <w:rFonts w:ascii="Calibri" w:hAnsi="Calibri"/>
                <w:sz w:val="22"/>
              </w:rPr>
              <w:t>N/A</w:t>
            </w:r>
          </w:p>
        </w:tc>
      </w:tr>
      <w:tr>
        <w:tc>
          <w:tcPr>
            <w:tcW w:type="dxa" w:w="1234"/>
          </w:tcPr>
          <w:p>
            <w:r>
              <w:rPr>
                <w:rFonts w:ascii="Calibri" w:hAnsi="Calibri"/>
                <w:sz w:val="22"/>
              </w:rPr>
              <w:t>Non-GAAP Gross Margin (%)</w:t>
            </w:r>
          </w:p>
        </w:tc>
        <w:tc>
          <w:tcPr>
            <w:tcW w:type="dxa" w:w="1234"/>
          </w:tcPr>
          <w:p>
            <w:r>
              <w:rPr>
                <w:rFonts w:ascii="Calibri" w:hAnsi="Calibri"/>
                <w:sz w:val="22"/>
              </w:rPr>
              <w:t>55.0%</w:t>
            </w:r>
          </w:p>
        </w:tc>
        <w:tc>
          <w:tcPr>
            <w:tcW w:type="dxa" w:w="1234"/>
          </w:tcPr>
          <w:p>
            <w:r>
              <w:rPr>
                <w:rFonts w:ascii="Calibri" w:hAnsi="Calibri"/>
                <w:sz w:val="22"/>
              </w:rPr>
              <w:t>~43.3% (est.)</w:t>
            </w:r>
          </w:p>
        </w:tc>
        <w:tc>
          <w:tcPr>
            <w:tcW w:type="dxa" w:w="1234"/>
          </w:tcPr>
          <w:p>
            <w:r>
              <w:rPr>
                <w:rFonts w:ascii="Calibri" w:hAnsi="Calibri"/>
                <w:sz w:val="22"/>
              </w:rPr>
              <w:t>~56.0%</w:t>
            </w:r>
          </w:p>
        </w:tc>
        <w:tc>
          <w:tcPr>
            <w:tcW w:type="dxa" w:w="1234"/>
          </w:tcPr>
          <w:p>
            <w:r>
              <w:rPr>
                <w:rFonts w:ascii="Calibri" w:hAnsi="Calibri"/>
                <w:sz w:val="22"/>
              </w:rPr>
              <w:t>+~270 bps</w:t>
            </w:r>
          </w:p>
        </w:tc>
        <w:tc>
          <w:tcPr>
            <w:tcW w:type="dxa" w:w="1234"/>
          </w:tcPr>
          <w:p>
            <w:r>
              <w:rPr>
                <w:rFonts w:ascii="Calibri" w:hAnsi="Calibri"/>
                <w:sz w:val="22"/>
              </w:rPr>
              <w:t>~56.0%</w:t>
            </w:r>
          </w:p>
        </w:tc>
        <w:tc>
          <w:tcPr>
            <w:tcW w:type="dxa" w:w="1234"/>
          </w:tcPr>
          <w:p>
            <w:r>
              <w:rPr>
                <w:rFonts w:ascii="Calibri" w:hAnsi="Calibri"/>
                <w:sz w:val="22"/>
              </w:rPr>
              <w:t>~0%</w:t>
            </w:r>
          </w:p>
        </w:tc>
      </w:tr>
      <w:tr>
        <w:tc>
          <w:tcPr>
            <w:tcW w:type="dxa" w:w="1234"/>
          </w:tcPr>
          <w:p>
            <w:r>
              <w:rPr>
                <w:rFonts w:ascii="Calibri" w:hAnsi="Calibri"/>
                <w:sz w:val="22"/>
              </w:rPr>
              <w:t>Client Revenue ($B)</w:t>
            </w:r>
          </w:p>
        </w:tc>
        <w:tc>
          <w:tcPr>
            <w:tcW w:type="dxa" w:w="1234"/>
          </w:tcPr>
          <w:p>
            <w:r>
              <w:rPr>
                <w:rFonts w:ascii="Calibri" w:hAnsi="Calibri"/>
                <w:sz w:val="22"/>
              </w:rPr>
              <w:t>$2.89B</w:t>
            </w:r>
          </w:p>
        </w:tc>
        <w:tc>
          <w:tcPr>
            <w:tcW w:type="dxa" w:w="1234"/>
          </w:tcPr>
          <w:p>
            <w:r>
              <w:rPr>
                <w:rFonts w:ascii="Calibri" w:hAnsi="Calibri"/>
                <w:sz w:val="22"/>
              </w:rPr>
              <w:t>$2.50B</w:t>
            </w:r>
          </w:p>
        </w:tc>
        <w:tc>
          <w:tcPr>
            <w:tcW w:type="dxa" w:w="1234"/>
          </w:tcPr>
          <w:p>
            <w:r>
              <w:rPr>
                <w:rFonts w:ascii="Calibri" w:hAnsi="Calibri"/>
                <w:sz w:val="22"/>
              </w:rPr>
              <w:t>$2.97B</w:t>
            </w:r>
          </w:p>
        </w:tc>
        <w:tc>
          <w:tcPr>
            <w:tcW w:type="dxa" w:w="1234"/>
          </w:tcPr>
          <w:p>
            <w:r>
              <w:rPr>
                <w:rFonts w:ascii="Calibri" w:hAnsi="Calibri"/>
                <w:sz w:val="22"/>
              </w:rPr>
              <w:t>+18.8%</w:t>
            </w:r>
          </w:p>
        </w:tc>
        <w:tc>
          <w:tcPr>
            <w:tcW w:type="dxa" w:w="1234"/>
          </w:tcPr>
          <w:p>
            <w:r>
              <w:rPr>
                <w:rFonts w:ascii="Calibri" w:hAnsi="Calibri"/>
                <w:sz w:val="22"/>
              </w:rPr>
              <w:t>Modest growth (guided)</w:t>
            </w:r>
          </w:p>
        </w:tc>
        <w:tc>
          <w:tcPr>
            <w:tcW w:type="dxa" w:w="1234"/>
          </w:tcPr>
          <w:p>
            <w:r>
              <w:rPr>
                <w:rFonts w:ascii="Calibri" w:hAnsi="Calibri"/>
                <w:sz w:val="22"/>
              </w:rPr>
              <w:t>N/A</w:t>
            </w:r>
          </w:p>
        </w:tc>
      </w:tr>
      <w:tr>
        <w:tc>
          <w:tcPr>
            <w:tcW w:type="dxa" w:w="1234"/>
          </w:tcPr>
          <w:p>
            <w:r>
              <w:rPr>
                <w:rFonts w:ascii="Calibri" w:hAnsi="Calibri"/>
                <w:sz w:val="22"/>
              </w:rPr>
              <w:t>Gaming Revenue ($B)</w:t>
            </w:r>
          </w:p>
        </w:tc>
        <w:tc>
          <w:tcPr>
            <w:tcW w:type="dxa" w:w="1234"/>
          </w:tcPr>
          <w:p>
            <w:r>
              <w:rPr>
                <w:rFonts w:ascii="Calibri" w:hAnsi="Calibri"/>
                <w:sz w:val="22"/>
              </w:rPr>
              <w:t>$0.72B</w:t>
            </w:r>
          </w:p>
        </w:tc>
        <w:tc>
          <w:tcPr>
            <w:tcW w:type="dxa" w:w="1234"/>
          </w:tcPr>
          <w:p>
            <w:r>
              <w:rPr>
                <w:rFonts w:ascii="Calibri" w:hAnsi="Calibri"/>
                <w:sz w:val="22"/>
              </w:rPr>
              <w:t>$1.12B</w:t>
            </w:r>
          </w:p>
        </w:tc>
        <w:tc>
          <w:tcPr>
            <w:tcW w:type="dxa" w:w="1234"/>
          </w:tcPr>
          <w:p>
            <w:r>
              <w:rPr>
                <w:rFonts w:ascii="Calibri" w:hAnsi="Calibri"/>
                <w:sz w:val="22"/>
              </w:rPr>
              <w:t>$0.79B</w:t>
            </w:r>
          </w:p>
        </w:tc>
        <w:tc>
          <w:tcPr>
            <w:tcW w:type="dxa" w:w="1234"/>
          </w:tcPr>
          <w:p>
            <w:r>
              <w:rPr>
                <w:rFonts w:ascii="Calibri" w:hAnsi="Calibri"/>
                <w:sz w:val="22"/>
              </w:rPr>
              <w:t>-29.5%</w:t>
            </w:r>
          </w:p>
        </w:tc>
        <w:tc>
          <w:tcPr>
            <w:tcW w:type="dxa" w:w="1234"/>
          </w:tcPr>
          <w:p>
            <w:r>
              <w:rPr>
                <w:rFonts w:ascii="Calibri" w:hAnsi="Calibri"/>
                <w:sz w:val="22"/>
              </w:rPr>
              <w:t>Modest growth vs. Q1 (guided)</w:t>
            </w:r>
          </w:p>
        </w:tc>
        <w:tc>
          <w:tcPr>
            <w:tcW w:type="dxa" w:w="1234"/>
          </w:tcPr>
          <w:p>
            <w:r>
              <w:rPr>
                <w:rFonts w:ascii="Calibri" w:hAnsi="Calibri"/>
                <w:sz w:val="22"/>
              </w:rPr>
              <w:t>N/A</w:t>
            </w:r>
          </w:p>
        </w:tc>
      </w:tr>
      <w:tr>
        <w:tc>
          <w:tcPr>
            <w:tcW w:type="dxa" w:w="1234"/>
          </w:tcPr>
          <w:p>
            <w:r>
              <w:rPr>
                <w:rFonts w:ascii="Calibri" w:hAnsi="Calibri"/>
                <w:sz w:val="22"/>
              </w:rPr>
              <w:t>Embedded Revenue ($B)</w:t>
            </w:r>
          </w:p>
        </w:tc>
        <w:tc>
          <w:tcPr>
            <w:tcW w:type="dxa" w:w="1234"/>
          </w:tcPr>
          <w:p>
            <w:r>
              <w:rPr>
                <w:rFonts w:ascii="Calibri" w:hAnsi="Calibri"/>
                <w:sz w:val="22"/>
              </w:rPr>
              <w:t>$0.87B</w:t>
            </w:r>
          </w:p>
        </w:tc>
        <w:tc>
          <w:tcPr>
            <w:tcW w:type="dxa" w:w="1234"/>
          </w:tcPr>
          <w:p>
            <w:r>
              <w:rPr>
                <w:rFonts w:ascii="Calibri" w:hAnsi="Calibri"/>
                <w:sz w:val="22"/>
              </w:rPr>
              <w:t>$0.82B</w:t>
            </w:r>
          </w:p>
        </w:tc>
        <w:tc>
          <w:tcPr>
            <w:tcW w:type="dxa" w:w="1234"/>
          </w:tcPr>
          <w:p>
            <w:r>
              <w:rPr>
                <w:rFonts w:ascii="Calibri" w:hAnsi="Calibri"/>
                <w:sz w:val="22"/>
              </w:rPr>
              <w:t>$0.97B</w:t>
            </w:r>
          </w:p>
        </w:tc>
        <w:tc>
          <w:tcPr>
            <w:tcW w:type="dxa" w:w="1234"/>
          </w:tcPr>
          <w:p>
            <w:r>
              <w:rPr>
                <w:rFonts w:ascii="Calibri" w:hAnsi="Calibri"/>
                <w:sz w:val="22"/>
              </w:rPr>
              <w:t>+18.3%</w:t>
            </w:r>
          </w:p>
        </w:tc>
        <w:tc>
          <w:tcPr>
            <w:tcW w:type="dxa" w:w="1234"/>
          </w:tcPr>
          <w:p>
            <w:r>
              <w:rPr>
                <w:rFonts w:ascii="Calibri" w:hAnsi="Calibri"/>
                <w:sz w:val="22"/>
              </w:rPr>
              <w:t>Double-digit growth (guided)</w:t>
            </w:r>
          </w:p>
        </w:tc>
        <w:tc>
          <w:tcPr>
            <w:tcW w:type="dxa" w:w="1234"/>
          </w:tcPr>
          <w:p>
            <w:r>
              <w:rPr>
                <w:rFonts w:ascii="Calibri" w:hAnsi="Calibri"/>
                <w:sz w:val="22"/>
              </w:rPr>
              <w:t>N/A</w:t>
            </w:r>
          </w:p>
        </w:tc>
      </w:tr>
    </w:tbl>
    <w:p>
      <w:r>
        <w:rPr>
          <w:rFonts w:ascii="Calibri" w:hAnsi="Calibri"/>
          <w:color w:val="525866"/>
          <w:sz w:val="22"/>
        </w:rPr>
        <w:t>Sources: Visible Alpha Consensus and Actuals Data (Total Revenue, Data Center Revenue, Non-GAAP EPS, Client Revenue, Gaming Revenue, Embedded Revenue); AMD Q1 2026 Earnings Call (May 5, 2026) for guidance figures. Q2 2025 Data Center actual of $3.24B reflects the period of lower AI GPU revenue prior to the MI300 ramp acceleration. Non-GAAP Gross Margin Q2 2025 prior-year figure is an approximation based on reported operating gross profit; consensus estimate of ~56% aligns exactly with management guidance.</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$10.25B</w:t>
            </w:r>
          </w:p>
        </w:tc>
        <w:tc>
          <w:tcPr>
            <w:tcW w:type="dxa" w:w="1728"/>
          </w:tcPr>
          <w:p>
            <w:r>
              <w:rPr>
                <w:rFonts w:ascii="Calibri" w:hAnsi="Calibri"/>
                <w:sz w:val="22"/>
              </w:rPr>
              <w:t>$9.90B</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$10.27B</w:t>
            </w:r>
          </w:p>
        </w:tc>
        <w:tc>
          <w:tcPr>
            <w:tcW w:type="dxa" w:w="1728"/>
          </w:tcPr>
          <w:p>
            <w:r>
              <w:rPr>
                <w:rFonts w:ascii="Calibri" w:hAnsi="Calibri"/>
                <w:sz w:val="22"/>
              </w:rPr>
              <w:t>$9.71B</w:t>
            </w:r>
          </w:p>
        </w:tc>
        <w:tc>
          <w:tcPr>
            <w:tcW w:type="dxa" w:w="1728"/>
          </w:tcPr>
          <w:p>
            <w:r>
              <w:rPr>
                <w:rFonts w:ascii="Calibri" w:hAnsi="Calibri"/>
                <w:b/>
                <w:color w:val="30A46C"/>
                <w:sz w:val="22"/>
              </w:rPr>
              <w:t>+5.8%</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$9.25B</w:t>
            </w:r>
          </w:p>
        </w:tc>
        <w:tc>
          <w:tcPr>
            <w:tcW w:type="dxa" w:w="1728"/>
          </w:tcPr>
          <w:p>
            <w:r>
              <w:rPr>
                <w:rFonts w:ascii="Calibri" w:hAnsi="Calibri"/>
                <w:sz w:val="22"/>
              </w:rPr>
              <w:t>$8.76B</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$7.69B</w:t>
            </w:r>
          </w:p>
        </w:tc>
        <w:tc>
          <w:tcPr>
            <w:tcW w:type="dxa" w:w="1728"/>
          </w:tcPr>
          <w:p>
            <w:r>
              <w:rPr>
                <w:rFonts w:ascii="Calibri" w:hAnsi="Calibri"/>
                <w:sz w:val="22"/>
              </w:rPr>
              <w:t>$7.43B</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$7.44B</w:t>
            </w:r>
          </w:p>
        </w:tc>
        <w:tc>
          <w:tcPr>
            <w:tcW w:type="dxa" w:w="1728"/>
          </w:tcPr>
          <w:p>
            <w:r>
              <w:rPr>
                <w:rFonts w:ascii="Calibri" w:hAnsi="Calibri"/>
                <w:sz w:val="22"/>
              </w:rPr>
              <w:t>$7.13B</w:t>
            </w:r>
          </w:p>
        </w:tc>
        <w:tc>
          <w:tcPr>
            <w:tcW w:type="dxa" w:w="1728"/>
          </w:tcPr>
          <w:p>
            <w:r>
              <w:rPr>
                <w:rFonts w:ascii="Calibri" w:hAnsi="Calibri"/>
                <w:b/>
                <w:color w:val="30A46C"/>
                <w:sz w:val="22"/>
              </w:rPr>
              <w:t>+4.4%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$7.66B</w:t>
            </w:r>
          </w:p>
        </w:tc>
        <w:tc>
          <w:tcPr>
            <w:tcW w:type="dxa" w:w="1728"/>
          </w:tcPr>
          <w:p>
            <w:r>
              <w:rPr>
                <w:rFonts w:ascii="Calibri" w:hAnsi="Calibri"/>
                <w:sz w:val="22"/>
              </w:rPr>
              <w:t>$7.54B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$6.82B</w:t>
            </w:r>
          </w:p>
        </w:tc>
        <w:tc>
          <w:tcPr>
            <w:tcW w:type="dxa" w:w="1728"/>
          </w:tcPr>
          <w:p>
            <w:r>
              <w:rPr>
                <w:rFonts w:ascii="Calibri" w:hAnsi="Calibri"/>
                <w:sz w:val="22"/>
              </w:rPr>
              <w:t>$6.71B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$2.77B*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(segment reorg)</w:t>
            </w:r>
          </w:p>
        </w:tc>
      </w:tr>
    </w:tbl>
    <w:p>
      <w:pPr>
        <w:pStyle w:val="Heading3"/>
      </w:pPr>
      <w:r>
        <w:rPr>
          <w:rFonts w:ascii="Calibri" w:hAnsi="Calibri"/>
          <w:b/>
          <w:color w:val="3B4259"/>
          <w:sz w:val="24"/>
        </w:rPr>
        <w:t>KPI 2: Data Center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$5.78B</w:t>
            </w:r>
          </w:p>
        </w:tc>
        <w:tc>
          <w:tcPr>
            <w:tcW w:type="dxa" w:w="1728"/>
          </w:tcPr>
          <w:p>
            <w:r>
              <w:rPr>
                <w:rFonts w:ascii="Calibri" w:hAnsi="Calibri"/>
                <w:sz w:val="22"/>
              </w:rPr>
              <w:t>$5.63B</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$5.38B</w:t>
            </w:r>
          </w:p>
        </w:tc>
        <w:tc>
          <w:tcPr>
            <w:tcW w:type="dxa" w:w="1728"/>
          </w:tcPr>
          <w:p>
            <w:r>
              <w:rPr>
                <w:rFonts w:ascii="Calibri" w:hAnsi="Calibri"/>
                <w:sz w:val="22"/>
              </w:rPr>
              <w:t>$5.00B</w:t>
            </w:r>
          </w:p>
        </w:tc>
        <w:tc>
          <w:tcPr>
            <w:tcW w:type="dxa" w:w="1728"/>
          </w:tcPr>
          <w:p>
            <w:r>
              <w:rPr>
                <w:rFonts w:ascii="Calibri" w:hAnsi="Calibri"/>
                <w:b/>
                <w:color w:val="30A46C"/>
                <w:sz w:val="22"/>
              </w:rPr>
              <w:t>+7.6%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$4.34B</w:t>
            </w:r>
          </w:p>
        </w:tc>
        <w:tc>
          <w:tcPr>
            <w:tcW w:type="dxa" w:w="1728"/>
          </w:tcPr>
          <w:p>
            <w:r>
              <w:rPr>
                <w:rFonts w:ascii="Calibri" w:hAnsi="Calibri"/>
                <w:sz w:val="22"/>
              </w:rPr>
              <w:t>$4.19B</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$3.24B</w:t>
            </w:r>
          </w:p>
        </w:tc>
        <w:tc>
          <w:tcPr>
            <w:tcW w:type="dxa" w:w="1728"/>
          </w:tcPr>
          <w:p>
            <w:r>
              <w:rPr>
                <w:rFonts w:ascii="Calibri" w:hAnsi="Calibri"/>
                <w:sz w:val="22"/>
              </w:rPr>
              <w:t>$3.32B</w:t>
            </w:r>
          </w:p>
        </w:tc>
        <w:tc>
          <w:tcPr>
            <w:tcW w:type="dxa" w:w="1728"/>
          </w:tcPr>
          <w:p>
            <w:r>
              <w:rPr>
                <w:rFonts w:ascii="Calibri" w:hAnsi="Calibri"/>
                <w:b/>
                <w:color w:val="E5484D"/>
                <w:sz w:val="22"/>
              </w:rPr>
              <w:t>-2.4%</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$3.67B</w:t>
            </w:r>
          </w:p>
        </w:tc>
        <w:tc>
          <w:tcPr>
            <w:tcW w:type="dxa" w:w="1728"/>
          </w:tcPr>
          <w:p>
            <w:r>
              <w:rPr>
                <w:rFonts w:ascii="Calibri" w:hAnsi="Calibri"/>
                <w:sz w:val="22"/>
              </w:rPr>
              <w:t>$3.63B</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$3.86B</w:t>
            </w:r>
          </w:p>
        </w:tc>
        <w:tc>
          <w:tcPr>
            <w:tcW w:type="dxa" w:w="1728"/>
          </w:tcPr>
          <w:p>
            <w:r>
              <w:rPr>
                <w:rFonts w:ascii="Calibri" w:hAnsi="Calibri"/>
                <w:sz w:val="22"/>
              </w:rPr>
              <w:t>$4.12B</w:t>
            </w:r>
          </w:p>
        </w:tc>
        <w:tc>
          <w:tcPr>
            <w:tcW w:type="dxa" w:w="1728"/>
          </w:tcPr>
          <w:p>
            <w:r>
              <w:rPr>
                <w:rFonts w:ascii="Calibri" w:hAnsi="Calibri"/>
                <w:b/>
                <w:color w:val="E5484D"/>
                <w:sz w:val="22"/>
              </w:rPr>
              <w:t>-6.3%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$3.55B</w:t>
            </w:r>
          </w:p>
        </w:tc>
        <w:tc>
          <w:tcPr>
            <w:tcW w:type="dxa" w:w="1728"/>
          </w:tcPr>
          <w:p>
            <w:r>
              <w:rPr>
                <w:rFonts w:ascii="Calibri" w:hAnsi="Calibri"/>
                <w:sz w:val="22"/>
              </w:rPr>
              <w:t>$3.52B</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(reorg)</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AMD has beaten total revenue consensus in 7 of the last 7 comparable quarters, with beats accelerating in magnitude as the Data Center AI ramp has gained momentum; the two Data Center misses (Q4 2024 and Q2 2025) both coincided with China export control disruptions and supply transitions, not demand weakness.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May 5 earnings call, but management’s tone has escalated materially — the Advancing AI 2026 event (July 23) confirmed Helios in full production, Venice in volume production, and raised the server CPU TAM to $220B+, all of which are incremental positives above the original Q2 guide.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$11.2B ± $300M</w:t>
            </w:r>
          </w:p>
        </w:tc>
        <w:tc>
          <w:tcPr>
            <w:tcW w:type="dxa" w:w="1728"/>
          </w:tcPr>
          <w:p>
            <w:r>
              <w:rPr>
                <w:rFonts w:ascii="Calibri" w:hAnsi="Calibri"/>
                <w:sz w:val="22"/>
              </w:rPr>
              <w:t>—</w:t>
            </w:r>
          </w:p>
        </w:tc>
        <w:tc>
          <w:tcPr>
            <w:tcW w:type="dxa" w:w="1728"/>
          </w:tcPr>
          <w:p>
            <w:r>
              <w:rPr>
                <w:rFonts w:ascii="Calibri" w:hAnsi="Calibri"/>
                <w:sz w:val="22"/>
              </w:rPr>
              <w:t>$11.35B</w:t>
            </w:r>
          </w:p>
        </w:tc>
        <w:tc>
          <w:tcPr>
            <w:tcW w:type="dxa" w:w="1728"/>
          </w:tcPr>
          <w:p>
            <w:r>
              <w:rPr>
                <w:rFonts w:ascii="Calibri" w:hAnsi="Calibri"/>
                <w:sz w:val="22"/>
              </w:rPr>
              <w:t>No formal revision; consensus drifted +0.7% above midpoint on Advancing AI event optimism</w:t>
            </w:r>
          </w:p>
        </w:tc>
      </w:tr>
      <w:tr>
        <w:tc>
          <w:tcPr>
            <w:tcW w:type="dxa" w:w="1728"/>
          </w:tcPr>
          <w:p>
            <w:r>
              <w:rPr>
                <w:rFonts w:ascii="Calibri" w:hAnsi="Calibri"/>
                <w:sz w:val="22"/>
              </w:rPr>
              <w:t>Q2 2026 Non-GAAP Gross Margin</w:t>
            </w:r>
          </w:p>
        </w:tc>
        <w:tc>
          <w:tcPr>
            <w:tcW w:type="dxa" w:w="1728"/>
          </w:tcPr>
          <w:p>
            <w:r>
              <w:rPr>
                <w:rFonts w:ascii="Calibri" w:hAnsi="Calibri"/>
                <w:sz w:val="22"/>
              </w:rPr>
              <w:t>~56%</w:t>
            </w:r>
          </w:p>
        </w:tc>
        <w:tc>
          <w:tcPr>
            <w:tcW w:type="dxa" w:w="1728"/>
          </w:tcPr>
          <w:p>
            <w:r>
              <w:rPr>
                <w:rFonts w:ascii="Calibri" w:hAnsi="Calibri"/>
                <w:sz w:val="22"/>
              </w:rPr>
              <w:t>—</w:t>
            </w:r>
          </w:p>
        </w:tc>
        <w:tc>
          <w:tcPr>
            <w:tcW w:type="dxa" w:w="1728"/>
          </w:tcPr>
          <w:p>
            <w:r>
              <w:rPr>
                <w:rFonts w:ascii="Calibri" w:hAnsi="Calibri"/>
                <w:sz w:val="22"/>
              </w:rPr>
              <w:t>~56.0%</w:t>
            </w:r>
          </w:p>
        </w:tc>
        <w:tc>
          <w:tcPr>
            <w:tcW w:type="dxa" w:w="1728"/>
          </w:tcPr>
          <w:p>
            <w:r>
              <w:rPr>
                <w:rFonts w:ascii="Calibri" w:hAnsi="Calibri"/>
                <w:sz w:val="22"/>
              </w:rPr>
              <w:t>Unchanged; consensus in line with guidance</w:t>
            </w:r>
          </w:p>
        </w:tc>
      </w:tr>
      <w:tr>
        <w:tc>
          <w:tcPr>
            <w:tcW w:type="dxa" w:w="1728"/>
          </w:tcPr>
          <w:p>
            <w:r>
              <w:rPr>
                <w:rFonts w:ascii="Calibri" w:hAnsi="Calibri"/>
                <w:sz w:val="22"/>
              </w:rPr>
              <w:t>Q2 2026 Non-GAAP OpEx</w:t>
            </w:r>
          </w:p>
        </w:tc>
        <w:tc>
          <w:tcPr>
            <w:tcW w:type="dxa" w:w="1728"/>
          </w:tcPr>
          <w:p>
            <w:r>
              <w:rPr>
                <w:rFonts w:ascii="Calibri" w:hAnsi="Calibri"/>
                <w:sz w:val="22"/>
              </w:rPr>
              <w:t>~$3.3B</w:t>
            </w:r>
          </w:p>
        </w:tc>
        <w:tc>
          <w:tcPr>
            <w:tcW w:type="dxa" w:w="1728"/>
          </w:tcPr>
          <w:p>
            <w:r>
              <w:rPr>
                <w:rFonts w:ascii="Calibri" w:hAnsi="Calibri"/>
                <w:sz w:val="22"/>
              </w:rPr>
              <w:t>—</w:t>
            </w:r>
          </w:p>
        </w:tc>
        <w:tc>
          <w:tcPr>
            <w:tcW w:type="dxa" w:w="1728"/>
          </w:tcPr>
          <w:p>
            <w:r>
              <w:rPr>
                <w:rFonts w:ascii="Calibri" w:hAnsi="Calibri"/>
                <w:sz w:val="22"/>
              </w:rPr>
              <w:t>~$3.3B</w:t>
            </w:r>
          </w:p>
        </w:tc>
        <w:tc>
          <w:tcPr>
            <w:tcW w:type="dxa" w:w="1728"/>
          </w:tcPr>
          <w:p>
            <w:r>
              <w:rPr>
                <w:rFonts w:ascii="Calibri" w:hAnsi="Calibri"/>
                <w:sz w:val="22"/>
              </w:rPr>
              <w:t>Unchanged</w:t>
            </w:r>
          </w:p>
        </w:tc>
      </w:tr>
      <w:tr>
        <w:tc>
          <w:tcPr>
            <w:tcW w:type="dxa" w:w="1728"/>
          </w:tcPr>
          <w:p>
            <w:r>
              <w:rPr>
                <w:rFonts w:ascii="Calibri" w:hAnsi="Calibri"/>
                <w:sz w:val="22"/>
              </w:rPr>
              <w:t>Q2 2026 Non-GAAP Tax Rate</w:t>
            </w:r>
          </w:p>
        </w:tc>
        <w:tc>
          <w:tcPr>
            <w:tcW w:type="dxa" w:w="1728"/>
          </w:tcPr>
          <w:p>
            <w:r>
              <w:rPr>
                <w:rFonts w:ascii="Calibri" w:hAnsi="Calibri"/>
                <w:sz w:val="22"/>
              </w:rPr>
              <w:t>13%</w:t>
            </w:r>
          </w:p>
        </w:tc>
        <w:tc>
          <w:tcPr>
            <w:tcW w:type="dxa" w:w="1728"/>
          </w:tcPr>
          <w:p>
            <w:r>
              <w:rPr>
                <w:rFonts w:ascii="Calibri" w:hAnsi="Calibri"/>
                <w:sz w:val="22"/>
              </w:rPr>
              <w:t>—</w:t>
            </w:r>
          </w:p>
        </w:tc>
        <w:tc>
          <w:tcPr>
            <w:tcW w:type="dxa" w:w="1728"/>
          </w:tcPr>
          <w:p>
            <w:r>
              <w:rPr>
                <w:rFonts w:ascii="Calibri" w:hAnsi="Calibri"/>
                <w:sz w:val="22"/>
              </w:rPr>
              <w:t>~13%</w:t>
            </w:r>
          </w:p>
        </w:tc>
        <w:tc>
          <w:tcPr>
            <w:tcW w:type="dxa" w:w="1728"/>
          </w:tcPr>
          <w:p>
            <w:r>
              <w:rPr>
                <w:rFonts w:ascii="Calibri" w:hAnsi="Calibri"/>
                <w:sz w:val="22"/>
              </w:rPr>
              <w:t>Unchanged</w:t>
            </w:r>
          </w:p>
        </w:tc>
      </w:tr>
      <w:tr>
        <w:tc>
          <w:tcPr>
            <w:tcW w:type="dxa" w:w="1728"/>
          </w:tcPr>
          <w:p>
            <w:r>
              <w:rPr>
                <w:rFonts w:ascii="Calibri" w:hAnsi="Calibri"/>
                <w:sz w:val="22"/>
              </w:rPr>
              <w:t>Q2 2026 Diluted Share Count</w:t>
            </w:r>
          </w:p>
        </w:tc>
        <w:tc>
          <w:tcPr>
            <w:tcW w:type="dxa" w:w="1728"/>
          </w:tcPr>
          <w:p>
            <w:r>
              <w:rPr>
                <w:rFonts w:ascii="Calibri" w:hAnsi="Calibri"/>
                <w:sz w:val="22"/>
              </w:rPr>
              <w:t>~1.66B shares</w:t>
            </w:r>
          </w:p>
        </w:tc>
        <w:tc>
          <w:tcPr>
            <w:tcW w:type="dxa" w:w="1728"/>
          </w:tcPr>
          <w:p>
            <w:r>
              <w:rPr>
                <w:rFonts w:ascii="Calibri" w:hAnsi="Calibri"/>
                <w:sz w:val="22"/>
              </w:rPr>
              <w:t>—</w:t>
            </w:r>
          </w:p>
        </w:tc>
        <w:tc>
          <w:tcPr>
            <w:tcW w:type="dxa" w:w="1728"/>
          </w:tcPr>
          <w:p>
            <w:r>
              <w:rPr>
                <w:rFonts w:ascii="Calibri" w:hAnsi="Calibri"/>
                <w:sz w:val="22"/>
              </w:rPr>
              <w:t>~1.66B shares</w:t>
            </w:r>
          </w:p>
        </w:tc>
        <w:tc>
          <w:tcPr>
            <w:tcW w:type="dxa" w:w="1728"/>
          </w:tcPr>
          <w:p>
            <w:r>
              <w:rPr>
                <w:rFonts w:ascii="Calibri" w:hAnsi="Calibri"/>
                <w:sz w:val="22"/>
              </w:rPr>
              <w:t>Unchanged</w:t>
            </w:r>
          </w:p>
        </w:tc>
      </w:tr>
      <w:tr>
        <w:tc>
          <w:tcPr>
            <w:tcW w:type="dxa" w:w="1728"/>
          </w:tcPr>
          <w:p>
            <w:r>
              <w:rPr>
                <w:rFonts w:ascii="Calibri" w:hAnsi="Calibri"/>
                <w:sz w:val="22"/>
              </w:rPr>
              <w:t>Data Center AI Revenue (2027 Target)</w:t>
            </w:r>
          </w:p>
        </w:tc>
        <w:tc>
          <w:tcPr>
            <w:tcW w:type="dxa" w:w="1728"/>
          </w:tcPr>
          <w:p>
            <w:r>
              <w:rPr>
                <w:rFonts w:ascii="Calibri" w:hAnsi="Calibri"/>
                <w:sz w:val="22"/>
              </w:rPr>
              <w:t>"Tens of billions" with &gt;80% CAGR target</w:t>
            </w:r>
          </w:p>
        </w:tc>
        <w:tc>
          <w:tcPr>
            <w:tcW w:type="dxa" w:w="1728"/>
          </w:tcPr>
          <w:p>
            <w:r>
              <w:rPr>
                <w:rFonts w:ascii="Calibri" w:hAnsi="Calibri"/>
                <w:sz w:val="22"/>
              </w:rPr>
              <w:t>Confidence escalated at Advancing AI 2026 (July 23); customer forecasts now exceeding initial plans</w:t>
            </w:r>
          </w:p>
        </w:tc>
        <w:tc>
          <w:tcPr>
            <w:tcW w:type="dxa" w:w="1728"/>
          </w:tcPr>
          <w:p>
            <w:r>
              <w:rPr>
                <w:rFonts w:ascii="Calibri" w:hAnsi="Calibri"/>
                <w:sz w:val="22"/>
              </w:rPr>
              <w:t>N/A (not modeled quarterly)</w:t>
            </w:r>
          </w:p>
        </w:tc>
        <w:tc>
          <w:tcPr>
            <w:tcW w:type="dxa" w:w="1728"/>
          </w:tcPr>
          <w:p>
            <w:r>
              <w:rPr>
                <w:rFonts w:ascii="Calibri" w:hAnsi="Calibri"/>
                <w:sz w:val="22"/>
              </w:rPr>
              <w:t>↑ Tone upgrade at Advancing AI 2026 (July 23); Anthropic 2GW deal, OpenAI/Meta forecasts above plan</w:t>
            </w:r>
          </w:p>
        </w:tc>
      </w:tr>
      <w:tr>
        <w:tc>
          <w:tcPr>
            <w:tcW w:type="dxa" w:w="1728"/>
          </w:tcPr>
          <w:p>
            <w:r>
              <w:rPr>
                <w:rFonts w:ascii="Calibri" w:hAnsi="Calibri"/>
                <w:sz w:val="22"/>
              </w:rPr>
              <w:t>Server CPU TAM (2030)</w:t>
            </w:r>
          </w:p>
        </w:tc>
        <w:tc>
          <w:tcPr>
            <w:tcW w:type="dxa" w:w="1728"/>
          </w:tcPr>
          <w:p>
            <w:r>
              <w:rPr>
                <w:rFonts w:ascii="Calibri" w:hAnsi="Calibri"/>
                <w:sz w:val="22"/>
              </w:rPr>
              <w:t>&gt;$120B by 2030 at &gt;35% CAGR (raised from $60B at Nov 2025 Analyst Day)</w:t>
            </w:r>
          </w:p>
        </w:tc>
        <w:tc>
          <w:tcPr>
            <w:tcW w:type="dxa" w:w="1728"/>
          </w:tcPr>
          <w:p>
            <w:r>
              <w:rPr>
                <w:rFonts w:ascii="Calibri" w:hAnsi="Calibri"/>
                <w:sz w:val="22"/>
              </w:rPr>
              <w:t>Raised again to &gt;$220B at &gt;50% CAGR at Advancing AI 2026 (July 23)</w:t>
            </w:r>
          </w:p>
        </w:tc>
        <w:tc>
          <w:tcPr>
            <w:tcW w:type="dxa" w:w="1728"/>
          </w:tcPr>
          <w:p>
            <w:r>
              <w:rPr>
                <w:rFonts w:ascii="Calibri" w:hAnsi="Calibri"/>
                <w:sz w:val="22"/>
              </w:rPr>
              <w:t>N/A</w:t>
            </w:r>
          </w:p>
        </w:tc>
        <w:tc>
          <w:tcPr>
            <w:tcW w:type="dxa" w:w="1728"/>
          </w:tcPr>
          <w:p>
            <w:r>
              <w:rPr>
                <w:rFonts w:ascii="Calibri" w:hAnsi="Calibri"/>
                <w:sz w:val="22"/>
              </w:rPr>
              <w:t>↑ Raised at Advancing AI 2026 (July 23); agentic AI driving CPU-to-GPU ratio toward 1:1 or higher</w:t>
            </w:r>
          </w:p>
        </w:tc>
      </w:tr>
      <w:tr>
        <w:tc>
          <w:tcPr>
            <w:tcW w:type="dxa" w:w="1728"/>
          </w:tcPr>
          <w:p>
            <w:r>
              <w:rPr>
                <w:rFonts w:ascii="Calibri" w:hAnsi="Calibri"/>
                <w:sz w:val="22"/>
              </w:rPr>
              <w:t>Helios Ramp Timeline</w:t>
            </w:r>
          </w:p>
        </w:tc>
        <w:tc>
          <w:tcPr>
            <w:tcW w:type="dxa" w:w="1728"/>
          </w:tcPr>
          <w:p>
            <w:r>
              <w:rPr>
                <w:rFonts w:ascii="Calibri" w:hAnsi="Calibri"/>
                <w:sz w:val="22"/>
              </w:rPr>
              <w:t>Initial volume Q3, significant ramp Q4, continuing Q1 2027</w:t>
            </w:r>
          </w:p>
        </w:tc>
        <w:tc>
          <w:tcPr>
            <w:tcW w:type="dxa" w:w="1728"/>
          </w:tcPr>
          <w:p>
            <w:r>
              <w:rPr>
                <w:rFonts w:ascii="Calibri" w:hAnsi="Calibri"/>
                <w:sz w:val="22"/>
              </w:rPr>
              <w:t>Confirmed in full production at Advancing AI 2026 (July 23); first shipments end of Q3</w:t>
            </w:r>
          </w:p>
        </w:tc>
        <w:tc>
          <w:tcPr>
            <w:tcW w:type="dxa" w:w="1728"/>
          </w:tcPr>
          <w:p>
            <w:r>
              <w:rPr>
                <w:rFonts w:ascii="Calibri" w:hAnsi="Calibri"/>
                <w:sz w:val="22"/>
              </w:rPr>
              <w:t>N/A</w:t>
            </w:r>
          </w:p>
        </w:tc>
        <w:tc>
          <w:tcPr>
            <w:tcW w:type="dxa" w:w="1728"/>
          </w:tcPr>
          <w:p>
            <w:r>
              <w:rPr>
                <w:rFonts w:ascii="Calibri" w:hAnsi="Calibri"/>
                <w:sz w:val="22"/>
              </w:rPr>
              <w:t>Confirmed on track at Advancing AI 2026 (July 23); no change to timeline</w:t>
            </w:r>
          </w:p>
        </w:tc>
      </w:tr>
      <w:tr>
        <w:tc>
          <w:tcPr>
            <w:tcW w:type="dxa" w:w="1728"/>
          </w:tcPr>
          <w:p>
            <w:r>
              <w:rPr>
                <w:rFonts w:ascii="Calibri" w:hAnsi="Calibri"/>
                <w:sz w:val="22"/>
              </w:rPr>
              <w:t>H2 2026 Gaming Revenue</w:t>
            </w:r>
          </w:p>
        </w:tc>
        <w:tc>
          <w:tcPr>
            <w:tcW w:type="dxa" w:w="1728"/>
          </w:tcPr>
          <w:p>
            <w:r>
              <w:rPr>
                <w:rFonts w:ascii="Calibri" w:hAnsi="Calibri"/>
                <w:sz w:val="22"/>
              </w:rPr>
              <w:t>Decline &gt;20% vs. H1 2026</w:t>
            </w:r>
          </w:p>
        </w:tc>
        <w:tc>
          <w:tcPr>
            <w:tcW w:type="dxa" w:w="1728"/>
          </w:tcPr>
          <w:p>
            <w:r>
              <w:rPr>
                <w:rFonts w:ascii="Calibri" w:hAnsi="Calibri"/>
                <w:sz w:val="22"/>
              </w:rPr>
              <w:t>—</w:t>
            </w:r>
          </w:p>
        </w:tc>
        <w:tc>
          <w:tcPr>
            <w:tcW w:type="dxa" w:w="1728"/>
          </w:tcPr>
          <w:p>
            <w:r>
              <w:rPr>
                <w:rFonts w:ascii="Calibri" w:hAnsi="Calibri"/>
                <w:sz w:val="22"/>
              </w:rPr>
              <w:t>~$0.79B Q2; ~$0.75B Q3 consensus</w:t>
            </w:r>
          </w:p>
        </w:tc>
        <w:tc>
          <w:tcPr>
            <w:tcW w:type="dxa" w:w="1728"/>
          </w:tcPr>
          <w:p>
            <w:r>
              <w:rPr>
                <w:rFonts w:ascii="Calibri" w:hAnsi="Calibri"/>
                <w:sz w:val="22"/>
              </w:rPr>
              <w:t>Unchanged; memory/component cost headwinds flagged at Q1 earnings</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across all periods, with the most meaningful revision in Q3 and Q4 2026 as the Advancing AI event and Anthropic deal raised confidence in the Helios ramp; the gap between consensus and guidance is thin for Q2 but widens constructively for the full year.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$11.27B</w:t>
            </w:r>
          </w:p>
        </w:tc>
        <w:tc>
          <w:tcPr>
            <w:tcW w:type="dxa" w:w="1080"/>
          </w:tcPr>
          <w:p>
            <w:r>
              <w:rPr>
                <w:rFonts w:ascii="Calibri" w:hAnsi="Calibri"/>
                <w:sz w:val="22"/>
              </w:rPr>
              <w:t>$11.34B</w:t>
            </w:r>
          </w:p>
        </w:tc>
        <w:tc>
          <w:tcPr>
            <w:tcW w:type="dxa" w:w="1080"/>
          </w:tcPr>
          <w:p>
            <w:r>
              <w:rPr>
                <w:rFonts w:ascii="Calibri" w:hAnsi="Calibri"/>
                <w:sz w:val="22"/>
              </w:rPr>
              <w:t>+0.6%</w:t>
            </w:r>
          </w:p>
        </w:tc>
        <w:tc>
          <w:tcPr>
            <w:tcW w:type="dxa" w:w="1080"/>
          </w:tcPr>
          <w:p>
            <w:r>
              <w:rPr>
                <w:rFonts w:ascii="Calibri" w:hAnsi="Calibri"/>
                <w:sz w:val="22"/>
              </w:rPr>
              <w:t>$11.20B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w:t>
            </w:r>
          </w:p>
        </w:tc>
      </w:tr>
      <w:tr>
        <w:tc>
          <w:tcPr>
            <w:tcW w:type="dxa" w:w="1080"/>
          </w:tcPr>
          <w:p>
            <w:r>
              <w:rPr>
                <w:rFonts w:ascii="Calibri" w:hAnsi="Calibri"/>
                <w:sz w:val="22"/>
              </w:rPr>
              <w:t>Total Revenue — FY 2026</w:t>
            </w:r>
          </w:p>
        </w:tc>
        <w:tc>
          <w:tcPr>
            <w:tcW w:type="dxa" w:w="1080"/>
          </w:tcPr>
          <w:p>
            <w:r>
              <w:rPr>
                <w:rFonts w:ascii="Calibri" w:hAnsi="Calibri"/>
                <w:sz w:val="22"/>
              </w:rPr>
              <w:t>$49.84B</w:t>
            </w:r>
          </w:p>
        </w:tc>
        <w:tc>
          <w:tcPr>
            <w:tcW w:type="dxa" w:w="1080"/>
          </w:tcPr>
          <w:p>
            <w:r>
              <w:rPr>
                <w:rFonts w:ascii="Calibri" w:hAnsi="Calibri"/>
                <w:sz w:val="22"/>
              </w:rPr>
              <w:t>$50.41B</w:t>
            </w:r>
          </w:p>
        </w:tc>
        <w:tc>
          <w:tcPr>
            <w:tcW w:type="dxa" w:w="1080"/>
          </w:tcPr>
          <w:p>
            <w:r>
              <w:rPr>
                <w:rFonts w:ascii="Calibri" w:hAnsi="Calibri"/>
                <w:sz w:val="22"/>
              </w:rPr>
              <w:t>+1.1%</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Data Center Revenue — Q2 2026</w:t>
            </w:r>
          </w:p>
        </w:tc>
        <w:tc>
          <w:tcPr>
            <w:tcW w:type="dxa" w:w="1080"/>
          </w:tcPr>
          <w:p>
            <w:r>
              <w:rPr>
                <w:rFonts w:ascii="Calibri" w:hAnsi="Calibri"/>
                <w:sz w:val="22"/>
              </w:rPr>
              <w:t>$6.54B</w:t>
            </w:r>
          </w:p>
        </w:tc>
        <w:tc>
          <w:tcPr>
            <w:tcW w:type="dxa" w:w="1080"/>
          </w:tcPr>
          <w:p>
            <w:r>
              <w:rPr>
                <w:rFonts w:ascii="Calibri" w:hAnsi="Calibri"/>
                <w:sz w:val="22"/>
              </w:rPr>
              <w:t>$6.64B</w:t>
            </w:r>
          </w:p>
        </w:tc>
        <w:tc>
          <w:tcPr>
            <w:tcW w:type="dxa" w:w="1080"/>
          </w:tcPr>
          <w:p>
            <w:r>
              <w:rPr>
                <w:rFonts w:ascii="Calibri" w:hAnsi="Calibri"/>
                <w:sz w:val="22"/>
              </w:rPr>
              <w:t>+1.5%</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Data Center Revenue — FY 2026</w:t>
            </w:r>
          </w:p>
        </w:tc>
        <w:tc>
          <w:tcPr>
            <w:tcW w:type="dxa" w:w="1080"/>
          </w:tcPr>
          <w:p>
            <w:r>
              <w:rPr>
                <w:rFonts w:ascii="Calibri" w:hAnsi="Calibri"/>
                <w:sz w:val="22"/>
              </w:rPr>
              <w:t>$31.18B</w:t>
            </w:r>
          </w:p>
        </w:tc>
        <w:tc>
          <w:tcPr>
            <w:tcW w:type="dxa" w:w="1080"/>
          </w:tcPr>
          <w:p>
            <w:r>
              <w:rPr>
                <w:rFonts w:ascii="Calibri" w:hAnsi="Calibri"/>
                <w:sz w:val="22"/>
              </w:rPr>
              <w:t>$31.70B</w:t>
            </w:r>
          </w:p>
        </w:tc>
        <w:tc>
          <w:tcPr>
            <w:tcW w:type="dxa" w:w="1080"/>
          </w:tcPr>
          <w:p>
            <w:r>
              <w:rPr>
                <w:rFonts w:ascii="Calibri" w:hAnsi="Calibri"/>
                <w:sz w:val="22"/>
              </w:rPr>
              <w:t>+1.7%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Q2 2026</w:t>
            </w:r>
          </w:p>
        </w:tc>
        <w:tc>
          <w:tcPr>
            <w:tcW w:type="dxa" w:w="1080"/>
          </w:tcPr>
          <w:p>
            <w:r>
              <w:rPr>
                <w:rFonts w:ascii="Calibri" w:hAnsi="Calibri"/>
                <w:sz w:val="22"/>
              </w:rPr>
              <w:t>$1.60</w:t>
            </w:r>
          </w:p>
        </w:tc>
        <w:tc>
          <w:tcPr>
            <w:tcW w:type="dxa" w:w="1080"/>
          </w:tcPr>
          <w:p>
            <w:r>
              <w:rPr>
                <w:rFonts w:ascii="Calibri" w:hAnsi="Calibri"/>
                <w:sz w:val="22"/>
              </w:rPr>
              <w:t>$1.61</w:t>
            </w:r>
          </w:p>
        </w:tc>
        <w:tc>
          <w:tcPr>
            <w:tcW w:type="dxa" w:w="1080"/>
          </w:tcPr>
          <w:p>
            <w:r>
              <w:rPr>
                <w:rFonts w:ascii="Calibri" w:hAnsi="Calibri"/>
                <w:sz w:val="22"/>
              </w:rPr>
              <w:t>+0.6%</w:t>
            </w:r>
          </w:p>
        </w:tc>
        <w:tc>
          <w:tcPr>
            <w:tcW w:type="dxa" w:w="1080"/>
          </w:tcPr>
          <w:p>
            <w:r>
              <w:rPr>
                <w:rFonts w:ascii="Calibri" w:hAnsi="Calibri"/>
                <w:sz w:val="22"/>
              </w:rPr>
              <w:t>N/A (not guided directly)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$7.39</w:t>
            </w:r>
          </w:p>
        </w:tc>
        <w:tc>
          <w:tcPr>
            <w:tcW w:type="dxa" w:w="1080"/>
          </w:tcPr>
          <w:p>
            <w:r>
              <w:rPr>
                <w:rFonts w:ascii="Calibri" w:hAnsi="Calibri"/>
                <w:sz w:val="22"/>
              </w:rPr>
              <w:t>$7.51</w:t>
            </w:r>
          </w:p>
        </w:tc>
        <w:tc>
          <w:tcPr>
            <w:tcW w:type="dxa" w:w="1080"/>
          </w:tcPr>
          <w:p>
            <w:r>
              <w:rPr>
                <w:rFonts w:ascii="Calibri" w:hAnsi="Calibri"/>
                <w:sz w:val="22"/>
              </w:rPr>
              <w:t>+1.6%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May 12, 2026 baseline represents consensus as of 5 trading days post Q1 2026 earnings (May 5, 2026). Estimates have moved modestly but consistently higher across all key metrics since the Q1 print, with the revision trajectory accelerating in late July following the Advancing AI 2026 event and Anthropic deal announcement. The absence of formal FY guidance means the full-year consensus is entirely Street-driven; the +1.1% to +1.7% upward drift in revenue and Data Center estimates since the Q1 print reflects growing conviction in the Helios ramp and agentic AI CPU demand, not a guidance raise.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AMD has surged ~36% since the May 5 Q1 print vs. SOXX +5% and S&amp;P 500 +5%, with the move driven by a combination of multiple re-rating on AI narrative (Advancing AI event, Anthropic deal) and genuine estimate revision; the stock peaked near $581 on June 30 before pulling back ~17% into earnings, suggesting some air has come out of the most stretched positioning.</w:t>
      </w:r>
    </w:p>
    <w:p>
      <w:pPr>
        <w:pStyle w:val="Heading2"/>
      </w:pPr>
      <w:r>
        <w:rPr>
          <w:rFonts w:ascii="Calibri" w:hAnsi="Calibri"/>
          <w:b/>
          <w:color w:val="3B4259"/>
          <w:sz w:val="28"/>
        </w:rPr>
        <w:t>AMD vs. SOXX vs. S&amp;P 500 — Indexed Performance Since May 5,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AMD (Indexed)</w:t>
            </w:r>
          </w:p>
        </w:tc>
        <w:tc>
          <w:tcPr>
            <w:tcW w:type="dxa" w:w="1728"/>
            <w:shd w:val="clear" w:color="auto" w:fill="3B4259"/>
          </w:tcPr>
          <w:p>
            <w:r>
              <w:rPr>
                <w:rFonts w:ascii="Calibri" w:hAnsi="Calibri"/>
                <w:b/>
                <w:color w:val="FFFFFF"/>
                <w:sz w:val="22"/>
              </w:rPr>
              <w:t>SOXX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5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(Beat + Strong Q2 Guide)</w:t>
            </w:r>
          </w:p>
        </w:tc>
      </w:tr>
      <w:tr>
        <w:tc>
          <w:tcPr>
            <w:tcW w:type="dxa" w:w="1728"/>
          </w:tcPr>
          <w:p>
            <w:r>
              <w:rPr>
                <w:rFonts w:ascii="Calibri" w:hAnsi="Calibri"/>
                <w:sz w:val="22"/>
              </w:rPr>
              <w:t>May 6</w:t>
            </w:r>
          </w:p>
        </w:tc>
        <w:tc>
          <w:tcPr>
            <w:tcW w:type="dxa" w:w="1728"/>
          </w:tcPr>
          <w:p>
            <w:r>
              <w:rPr>
                <w:rFonts w:ascii="Calibri" w:hAnsi="Calibri"/>
                <w:sz w:val="22"/>
              </w:rPr>
              <w:t>118.6</w:t>
            </w:r>
          </w:p>
        </w:tc>
        <w:tc>
          <w:tcPr>
            <w:tcW w:type="dxa" w:w="1728"/>
          </w:tcPr>
          <w:p>
            <w:r>
              <w:rPr>
                <w:rFonts w:ascii="Calibri" w:hAnsi="Calibri"/>
                <w:sz w:val="22"/>
              </w:rPr>
              <w:t>105.0</w:t>
            </w:r>
          </w:p>
        </w:tc>
        <w:tc>
          <w:tcPr>
            <w:tcW w:type="dxa" w:w="1728"/>
          </w:tcPr>
          <w:p>
            <w:r>
              <w:rPr>
                <w:rFonts w:ascii="Calibri" w:hAnsi="Calibri"/>
                <w:sz w:val="22"/>
              </w:rPr>
              <w:t>101.4</w:t>
            </w:r>
          </w:p>
        </w:tc>
        <w:tc>
          <w:tcPr>
            <w:tcW w:type="dxa" w:w="1728"/>
          </w:tcPr>
          <w:p>
            <w:r>
              <w:rPr>
                <w:rFonts w:ascii="Calibri" w:hAnsi="Calibri"/>
                <w:sz w:val="22"/>
              </w:rPr>
              <w:t>Post-earnings gap up ~18%</w:t>
            </w:r>
          </w:p>
        </w:tc>
      </w:tr>
      <w:tr>
        <w:tc>
          <w:tcPr>
            <w:tcW w:type="dxa" w:w="1728"/>
          </w:tcPr>
          <w:p>
            <w:r>
              <w:rPr>
                <w:rFonts w:ascii="Calibri" w:hAnsi="Calibri"/>
                <w:sz w:val="22"/>
              </w:rPr>
              <w:t>May 21</w:t>
            </w:r>
          </w:p>
        </w:tc>
        <w:tc>
          <w:tcPr>
            <w:tcW w:type="dxa" w:w="1728"/>
          </w:tcPr>
          <w:p>
            <w:r>
              <w:rPr>
                <w:rFonts w:ascii="Calibri" w:hAnsi="Calibri"/>
                <w:sz w:val="22"/>
              </w:rPr>
              <w:t>126.5</w:t>
            </w:r>
          </w:p>
        </w:tc>
        <w:tc>
          <w:tcPr>
            <w:tcW w:type="dxa" w:w="1728"/>
          </w:tcPr>
          <w:p>
            <w:r>
              <w:rPr>
                <w:rFonts w:ascii="Calibri" w:hAnsi="Calibri"/>
                <w:sz w:val="22"/>
              </w:rPr>
              <w:t>108.7</w:t>
            </w:r>
          </w:p>
        </w:tc>
        <w:tc>
          <w:tcPr>
            <w:tcW w:type="dxa" w:w="1728"/>
          </w:tcPr>
          <w:p>
            <w:r>
              <w:rPr>
                <w:rFonts w:ascii="Calibri" w:hAnsi="Calibri"/>
                <w:sz w:val="22"/>
              </w:rPr>
              <w:t>102.6</w:t>
            </w:r>
          </w:p>
        </w:tc>
        <w:tc>
          <w:tcPr>
            <w:tcW w:type="dxa" w:w="1728"/>
          </w:tcPr>
          <w:p>
            <w:r>
              <w:rPr>
                <w:rFonts w:ascii="Calibri" w:hAnsi="Calibri"/>
                <w:sz w:val="22"/>
              </w:rPr>
              <w:t>AMD $10B Taiwan investment announced</w:t>
            </w:r>
          </w:p>
        </w:tc>
      </w:tr>
      <w:tr>
        <w:tc>
          <w:tcPr>
            <w:tcW w:type="dxa" w:w="1728"/>
          </w:tcPr>
          <w:p>
            <w:r>
              <w:rPr>
                <w:rFonts w:ascii="Calibri" w:hAnsi="Calibri"/>
                <w:sz w:val="22"/>
              </w:rPr>
              <w:t>Jun 1</w:t>
            </w:r>
          </w:p>
        </w:tc>
        <w:tc>
          <w:tcPr>
            <w:tcW w:type="dxa" w:w="1728"/>
          </w:tcPr>
          <w:p>
            <w:r>
              <w:rPr>
                <w:rFonts w:ascii="Calibri" w:hAnsi="Calibri"/>
                <w:sz w:val="22"/>
              </w:rPr>
              <w:t>143.6</w:t>
            </w:r>
          </w:p>
        </w:tc>
        <w:tc>
          <w:tcPr>
            <w:tcW w:type="dxa" w:w="1728"/>
          </w:tcPr>
          <w:p>
            <w:r>
              <w:rPr>
                <w:rFonts w:ascii="Calibri" w:hAnsi="Calibri"/>
                <w:sz w:val="22"/>
              </w:rPr>
              <w:t>118.4</w:t>
            </w:r>
          </w:p>
        </w:tc>
        <w:tc>
          <w:tcPr>
            <w:tcW w:type="dxa" w:w="1728"/>
          </w:tcPr>
          <w:p>
            <w:r>
              <w:rPr>
                <w:rFonts w:ascii="Calibri" w:hAnsi="Calibri"/>
                <w:sz w:val="22"/>
              </w:rPr>
              <w:t>104.8</w:t>
            </w:r>
          </w:p>
        </w:tc>
        <w:tc>
          <w:tcPr>
            <w:tcW w:type="dxa" w:w="1728"/>
          </w:tcPr>
          <w:p>
            <w:r>
              <w:rPr>
                <w:rFonts w:ascii="Calibri" w:hAnsi="Calibri"/>
                <w:sz w:val="22"/>
              </w:rPr>
              <w:t>Nvidia RTX Spark PC chip announcement (AMD/INTC fell)</w:t>
            </w:r>
          </w:p>
        </w:tc>
      </w:tr>
      <w:tr>
        <w:tc>
          <w:tcPr>
            <w:tcW w:type="dxa" w:w="1728"/>
          </w:tcPr>
          <w:p>
            <w:r>
              <w:rPr>
                <w:rFonts w:ascii="Calibri" w:hAnsi="Calibri"/>
                <w:sz w:val="22"/>
              </w:rPr>
              <w:t>Jun 5</w:t>
            </w:r>
          </w:p>
        </w:tc>
        <w:tc>
          <w:tcPr>
            <w:tcW w:type="dxa" w:w="1728"/>
          </w:tcPr>
          <w:p>
            <w:r>
              <w:rPr>
                <w:rFonts w:ascii="Calibri" w:hAnsi="Calibri"/>
                <w:sz w:val="22"/>
              </w:rPr>
              <w:t>131.2</w:t>
            </w:r>
          </w:p>
        </w:tc>
        <w:tc>
          <w:tcPr>
            <w:tcW w:type="dxa" w:w="1728"/>
          </w:tcPr>
          <w:p>
            <w:r>
              <w:rPr>
                <w:rFonts w:ascii="Calibri" w:hAnsi="Calibri"/>
                <w:sz w:val="22"/>
              </w:rPr>
              <w:t>111.8</w:t>
            </w:r>
          </w:p>
        </w:tc>
        <w:tc>
          <w:tcPr>
            <w:tcW w:type="dxa" w:w="1728"/>
          </w:tcPr>
          <w:p>
            <w:r>
              <w:rPr>
                <w:rFonts w:ascii="Calibri" w:hAnsi="Calibri"/>
                <w:sz w:val="22"/>
              </w:rPr>
              <w:t>101.9</w:t>
            </w:r>
          </w:p>
        </w:tc>
        <w:tc>
          <w:tcPr>
            <w:tcW w:type="dxa" w:w="1728"/>
          </w:tcPr>
          <w:p>
            <w:r>
              <w:rPr>
                <w:rFonts w:ascii="Calibri" w:hAnsi="Calibri"/>
                <w:sz w:val="22"/>
              </w:rPr>
              <w:t>Pullback on Nvidia PC chip concerns</w:t>
            </w:r>
          </w:p>
        </w:tc>
      </w:tr>
      <w:tr>
        <w:tc>
          <w:tcPr>
            <w:tcW w:type="dxa" w:w="1728"/>
          </w:tcPr>
          <w:p>
            <w:r>
              <w:rPr>
                <w:rFonts w:ascii="Calibri" w:hAnsi="Calibri"/>
                <w:sz w:val="22"/>
              </w:rPr>
              <w:t>Jun 22</w:t>
            </w:r>
          </w:p>
        </w:tc>
        <w:tc>
          <w:tcPr>
            <w:tcW w:type="dxa" w:w="1728"/>
          </w:tcPr>
          <w:p>
            <w:r>
              <w:rPr>
                <w:rFonts w:ascii="Calibri" w:hAnsi="Calibri"/>
                <w:sz w:val="22"/>
              </w:rPr>
              <w:t>155.2</w:t>
            </w:r>
          </w:p>
        </w:tc>
        <w:tc>
          <w:tcPr>
            <w:tcW w:type="dxa" w:w="1728"/>
          </w:tcPr>
          <w:p>
            <w:r>
              <w:rPr>
                <w:rFonts w:ascii="Calibri" w:hAnsi="Calibri"/>
                <w:sz w:val="22"/>
              </w:rPr>
              <w:t>135.7</w:t>
            </w:r>
          </w:p>
        </w:tc>
        <w:tc>
          <w:tcPr>
            <w:tcW w:type="dxa" w:w="1728"/>
          </w:tcPr>
          <w:p>
            <w:r>
              <w:rPr>
                <w:rFonts w:ascii="Calibri" w:hAnsi="Calibri"/>
                <w:sz w:val="22"/>
              </w:rPr>
              <w:t>102.9</w:t>
            </w:r>
          </w:p>
        </w:tc>
        <w:tc>
          <w:tcPr>
            <w:tcW w:type="dxa" w:w="1728"/>
          </w:tcPr>
          <w:p>
            <w:r>
              <w:rPr>
                <w:rFonts w:ascii="Calibri" w:hAnsi="Calibri"/>
                <w:sz w:val="22"/>
              </w:rPr>
              <w:t>AMD near $900B valuation; analyst upgrades</w:t>
            </w:r>
          </w:p>
        </w:tc>
      </w:tr>
      <w:tr>
        <w:tc>
          <w:tcPr>
            <w:tcW w:type="dxa" w:w="1728"/>
          </w:tcPr>
          <w:p>
            <w:r>
              <w:rPr>
                <w:rFonts w:ascii="Calibri" w:hAnsi="Calibri"/>
                <w:sz w:val="22"/>
              </w:rPr>
              <w:t>Jun 30</w:t>
            </w:r>
          </w:p>
        </w:tc>
        <w:tc>
          <w:tcPr>
            <w:tcW w:type="dxa" w:w="1728"/>
          </w:tcPr>
          <w:p>
            <w:r>
              <w:rPr>
                <w:rFonts w:ascii="Calibri" w:hAnsi="Calibri"/>
                <w:sz w:val="22"/>
              </w:rPr>
              <w:t>163.5</w:t>
            </w:r>
          </w:p>
        </w:tc>
        <w:tc>
          <w:tcPr>
            <w:tcW w:type="dxa" w:w="1728"/>
          </w:tcPr>
          <w:p>
            <w:r>
              <w:rPr>
                <w:rFonts w:ascii="Calibri" w:hAnsi="Calibri"/>
                <w:sz w:val="22"/>
              </w:rPr>
              <w:t>132.7</w:t>
            </w:r>
          </w:p>
        </w:tc>
        <w:tc>
          <w:tcPr>
            <w:tcW w:type="dxa" w:w="1728"/>
          </w:tcPr>
          <w:p>
            <w:r>
              <w:rPr>
                <w:rFonts w:ascii="Calibri" w:hAnsi="Calibri"/>
                <w:sz w:val="22"/>
              </w:rPr>
              <w:t>103.2</w:t>
            </w:r>
          </w:p>
        </w:tc>
        <w:tc>
          <w:tcPr>
            <w:tcW w:type="dxa" w:w="1728"/>
          </w:tcPr>
          <w:p>
            <w:r>
              <w:rPr>
                <w:rFonts w:ascii="Calibri" w:hAnsi="Calibri"/>
                <w:sz w:val="22"/>
              </w:rPr>
              <w:t>Peak: AMD at $580.91</w:t>
            </w:r>
          </w:p>
        </w:tc>
      </w:tr>
      <w:tr>
        <w:tc>
          <w:tcPr>
            <w:tcW w:type="dxa" w:w="1728"/>
          </w:tcPr>
          <w:p>
            <w:r>
              <w:rPr>
                <w:rFonts w:ascii="Calibri" w:hAnsi="Calibri"/>
                <w:sz w:val="22"/>
              </w:rPr>
              <w:t>Jul 20</w:t>
            </w:r>
          </w:p>
        </w:tc>
        <w:tc>
          <w:tcPr>
            <w:tcW w:type="dxa" w:w="1728"/>
          </w:tcPr>
          <w:p>
            <w:r>
              <w:rPr>
                <w:rFonts w:ascii="Calibri" w:hAnsi="Calibri"/>
                <w:sz w:val="22"/>
              </w:rPr>
              <w:t>141.7</w:t>
            </w:r>
          </w:p>
        </w:tc>
        <w:tc>
          <w:tcPr>
            <w:tcW w:type="dxa" w:w="1728"/>
          </w:tcPr>
          <w:p>
            <w:r>
              <w:rPr>
                <w:rFonts w:ascii="Calibri" w:hAnsi="Calibri"/>
                <w:sz w:val="22"/>
              </w:rPr>
              <w:t>108.6</w:t>
            </w:r>
          </w:p>
        </w:tc>
        <w:tc>
          <w:tcPr>
            <w:tcW w:type="dxa" w:w="1728"/>
          </w:tcPr>
          <w:p>
            <w:r>
              <w:rPr>
                <w:rFonts w:ascii="Calibri" w:hAnsi="Calibri"/>
                <w:sz w:val="22"/>
              </w:rPr>
              <w:t>102.5</w:t>
            </w:r>
          </w:p>
        </w:tc>
        <w:tc>
          <w:tcPr>
            <w:tcW w:type="dxa" w:w="1728"/>
          </w:tcPr>
          <w:p>
            <w:r>
              <w:rPr>
                <w:rFonts w:ascii="Calibri" w:hAnsi="Calibri"/>
                <w:sz w:val="22"/>
              </w:rPr>
              <w:t>Helios launch + Microsoft customer announcement</w:t>
            </w:r>
          </w:p>
        </w:tc>
      </w:tr>
      <w:tr>
        <w:tc>
          <w:tcPr>
            <w:tcW w:type="dxa" w:w="1728"/>
          </w:tcPr>
          <w:p>
            <w:r>
              <w:rPr>
                <w:rFonts w:ascii="Calibri" w:hAnsi="Calibri"/>
                <w:sz w:val="22"/>
              </w:rPr>
              <w:t>Jul 22–23</w:t>
            </w:r>
          </w:p>
        </w:tc>
        <w:tc>
          <w:tcPr>
            <w:tcW w:type="dxa" w:w="1728"/>
          </w:tcPr>
          <w:p>
            <w:r>
              <w:rPr>
                <w:rFonts w:ascii="Calibri" w:hAnsi="Calibri"/>
                <w:sz w:val="22"/>
              </w:rPr>
              <w:t>155.3</w:t>
            </w:r>
          </w:p>
        </w:tc>
        <w:tc>
          <w:tcPr>
            <w:tcW w:type="dxa" w:w="1728"/>
          </w:tcPr>
          <w:p>
            <w:r>
              <w:rPr>
                <w:rFonts w:ascii="Calibri" w:hAnsi="Calibri"/>
                <w:sz w:val="22"/>
              </w:rPr>
              <w:t>115.1</w:t>
            </w:r>
          </w:p>
        </w:tc>
        <w:tc>
          <w:tcPr>
            <w:tcW w:type="dxa" w:w="1728"/>
          </w:tcPr>
          <w:p>
            <w:r>
              <w:rPr>
                <w:rFonts w:ascii="Calibri" w:hAnsi="Calibri"/>
                <w:sz w:val="22"/>
              </w:rPr>
              <w:t>102.0</w:t>
            </w:r>
          </w:p>
        </w:tc>
        <w:tc>
          <w:tcPr>
            <w:tcW w:type="dxa" w:w="1728"/>
          </w:tcPr>
          <w:p>
            <w:r>
              <w:rPr>
                <w:rFonts w:ascii="Calibri" w:hAnsi="Calibri"/>
                <w:sz w:val="22"/>
              </w:rPr>
              <w:t>Anthropic $5B deal + Advancing AI 2026 Keynote</w:t>
            </w:r>
          </w:p>
        </w:tc>
      </w:tr>
      <w:tr>
        <w:tc>
          <w:tcPr>
            <w:tcW w:type="dxa" w:w="1728"/>
          </w:tcPr>
          <w:p>
            <w:r>
              <w:rPr>
                <w:rFonts w:ascii="Calibri" w:hAnsi="Calibri"/>
                <w:sz w:val="22"/>
              </w:rPr>
              <w:t>Jul 28</w:t>
            </w:r>
          </w:p>
        </w:tc>
        <w:tc>
          <w:tcPr>
            <w:tcW w:type="dxa" w:w="1728"/>
          </w:tcPr>
          <w:p>
            <w:r>
              <w:rPr>
                <w:rFonts w:ascii="Calibri" w:hAnsi="Calibri"/>
                <w:sz w:val="22"/>
              </w:rPr>
              <w:t>127.9</w:t>
            </w:r>
          </w:p>
        </w:tc>
        <w:tc>
          <w:tcPr>
            <w:tcW w:type="dxa" w:w="1728"/>
          </w:tcPr>
          <w:p>
            <w:r>
              <w:rPr>
                <w:rFonts w:ascii="Calibri" w:hAnsi="Calibri"/>
                <w:sz w:val="22"/>
              </w:rPr>
              <w:t>101.8</w:t>
            </w:r>
          </w:p>
        </w:tc>
        <w:tc>
          <w:tcPr>
            <w:tcW w:type="dxa" w:w="1728"/>
          </w:tcPr>
          <w:p>
            <w:r>
              <w:rPr>
                <w:rFonts w:ascii="Calibri" w:hAnsi="Calibri"/>
                <w:sz w:val="22"/>
              </w:rPr>
              <w:t>102.4</w:t>
            </w:r>
          </w:p>
        </w:tc>
        <w:tc>
          <w:tcPr>
            <w:tcW w:type="dxa" w:w="1728"/>
          </w:tcPr>
          <w:p>
            <w:r>
              <w:rPr>
                <w:rFonts w:ascii="Calibri" w:hAnsi="Calibri"/>
                <w:sz w:val="22"/>
              </w:rPr>
              <w:t>Core Scientific partnership ($14B potential); chip selloff</w:t>
            </w:r>
          </w:p>
        </w:tc>
      </w:tr>
      <w:tr>
        <w:tc>
          <w:tcPr>
            <w:tcW w:type="dxa" w:w="1728"/>
          </w:tcPr>
          <w:p>
            <w:r>
              <w:rPr>
                <w:rFonts w:ascii="Calibri" w:hAnsi="Calibri"/>
                <w:sz w:val="22"/>
              </w:rPr>
              <w:t>Jul 30</w:t>
            </w:r>
          </w:p>
        </w:tc>
        <w:tc>
          <w:tcPr>
            <w:tcW w:type="dxa" w:w="1728"/>
          </w:tcPr>
          <w:p>
            <w:r>
              <w:rPr>
                <w:rFonts w:ascii="Calibri" w:hAnsi="Calibri"/>
                <w:sz w:val="22"/>
              </w:rPr>
              <w:t>136.6</w:t>
            </w:r>
          </w:p>
        </w:tc>
        <w:tc>
          <w:tcPr>
            <w:tcW w:type="dxa" w:w="1728"/>
          </w:tcPr>
          <w:p>
            <w:r>
              <w:rPr>
                <w:rFonts w:ascii="Calibri" w:hAnsi="Calibri"/>
                <w:sz w:val="22"/>
              </w:rPr>
              <w:t>104.5</w:t>
            </w:r>
          </w:p>
        </w:tc>
        <w:tc>
          <w:tcPr>
            <w:tcW w:type="dxa" w:w="1728"/>
          </w:tcPr>
          <w:p>
            <w:r>
              <w:rPr>
                <w:rFonts w:ascii="Calibri" w:hAnsi="Calibri"/>
                <w:sz w:val="22"/>
              </w:rPr>
              <w:t>102.5</w:t>
            </w:r>
          </w:p>
        </w:tc>
        <w:tc>
          <w:tcPr>
            <w:tcW w:type="dxa" w:w="1728"/>
          </w:tcPr>
          <w:p>
            <w:r>
              <w:rPr>
                <w:rFonts w:ascii="Calibri" w:hAnsi="Calibri"/>
                <w:sz w:val="22"/>
              </w:rPr>
              <w:t>Chip rally on Lam Research / MSFT / Arm earnings</w:t>
            </w:r>
          </w:p>
        </w:tc>
      </w:tr>
      <w:tr>
        <w:tc>
          <w:tcPr>
            <w:tcW w:type="dxa" w:w="1728"/>
          </w:tcPr>
          <w:p>
            <w:r>
              <w:rPr>
                <w:rFonts w:ascii="Calibri" w:hAnsi="Calibri"/>
                <w:sz w:val="22"/>
              </w:rPr>
              <w:t>Aug 3 (Pre-Earnings)</w:t>
            </w:r>
          </w:p>
        </w:tc>
        <w:tc>
          <w:tcPr>
            <w:tcW w:type="dxa" w:w="1728"/>
          </w:tcPr>
          <w:p>
            <w:r>
              <w:rPr>
                <w:rFonts w:ascii="Calibri" w:hAnsi="Calibri"/>
                <w:sz w:val="22"/>
              </w:rPr>
              <w:t>136.3</w:t>
            </w:r>
          </w:p>
        </w:tc>
        <w:tc>
          <w:tcPr>
            <w:tcW w:type="dxa" w:w="1728"/>
          </w:tcPr>
          <w:p>
            <w:r>
              <w:rPr>
                <w:rFonts w:ascii="Calibri" w:hAnsi="Calibri"/>
                <w:sz w:val="22"/>
              </w:rPr>
              <w:t>105.2</w:t>
            </w:r>
          </w:p>
        </w:tc>
        <w:tc>
          <w:tcPr>
            <w:tcW w:type="dxa" w:w="1728"/>
          </w:tcPr>
          <w:p>
            <w:r>
              <w:rPr>
                <w:rFonts w:ascii="Calibri" w:hAnsi="Calibri"/>
                <w:sz w:val="22"/>
              </w:rPr>
              <w:t>104.7</w:t>
            </w:r>
          </w:p>
        </w:tc>
        <w:tc>
          <w:tcPr>
            <w:tcW w:type="dxa" w:w="1728"/>
          </w:tcPr>
          <w:p>
            <w:r>
              <w:rPr>
                <w:rFonts w:ascii="Calibri" w:hAnsi="Calibri"/>
                <w:sz w:val="22"/>
              </w:rPr>
              <w:t>Day before Q2 2026 earnings</w:t>
            </w:r>
          </w:p>
        </w:tc>
      </w:tr>
    </w:tbl>
    <w:p>
      <w:r>
        <w:rPr>
          <w:rFonts w:ascii="Calibri" w:hAnsi="Calibri"/>
          <w:color w:val="525866"/>
          <w:sz w:val="22"/>
        </w:rPr>
        <w:t>Source: Stock Price Data (Yahoo Finance). Sector ETF used: SOXX (iShares Semiconductor ETF) — appropriate for AMD’s semiconductor sub-sector. All values indexed to 100 at May 5, 2026 close ($355.26 for AMD, $482.73 for SOXX, $723.77 for SPY).</w:t>
      </w:r>
    </w:p>
    <w:p>
      <w:r>
        <w:rPr>
          <w:rFonts w:ascii="Calibri" w:hAnsi="Calibri"/>
          <w:b/>
          <w:color w:val="525866"/>
          <w:sz w:val="22"/>
        </w:rPr>
        <w:t xml:space="preserve">Performance Decomposition: </w:t>
      </w:r>
      <w:r>
        <w:rPr>
          <w:rFonts w:ascii="Calibri" w:hAnsi="Calibri"/>
          <w:color w:val="525866"/>
          <w:sz w:val="22"/>
        </w:rPr>
        <w:t>Over the 3-month horizon, AMD’s +34% price gain was accompanied by essentially flat NTM EV/EBITDA (-0.6%), meaning the move was almost entirely earnings/estimate driven — a healthy signal. Over 6 months, the +105% gain included +18% multiple expansion, suggesting the AI narrative has contributed meaningfully to the re-rating. The 1-month pullback of -6.4% was accompanied by a -20.5% multiple contraction, indicating the market is digesting the valuation premium ahead of the print. Source: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Anthropic $5B investment and 2GW chip deal (July 22) is the single most important post-earnings development — it validates AMD’s rack-scale strategy, expands the disclosed gigawatt pipeline to ~20GW, and raises the stakes for the Q2 print and Q3 guide.</w:t>
      </w:r>
    </w:p>
    <w:p>
      <w:pPr>
        <w:pStyle w:val="ListBullet"/>
        <w:ind w:left="360" w:hanging="360"/>
      </w:pPr>
      <w:r>
        <w:rPr>
          <w:rFonts w:ascii="Calibri" w:hAnsi="Calibri"/>
          <w:b/>
          <w:color w:val="525866"/>
          <w:sz w:val="22"/>
        </w:rPr>
        <w:t>July 28, 2026 — Core Scientific Partnership ($14B+ Revenue Potential):</w:t>
      </w:r>
      <w:r>
        <w:rPr>
          <w:rFonts w:ascii="Calibri" w:hAnsi="Calibri"/>
          <w:color w:val="525866"/>
          <w:sz w:val="22"/>
        </w:rPr>
        <w:t xml:space="preserve"> AMD secured 500+ MW of Core Scientific data center capacity (expandable to 2.5 GW) beginning 2027, anchored by 15-year agreements across five sites with &gt;$14B in potential base contracted revenue. AMD also receives market-priced warrants in Core Scientific. </w:t>
      </w:r>
      <w:r>
        <w:rPr>
          <w:rFonts w:ascii="Calibri" w:hAnsi="Calibri"/>
          <w:i/>
          <w:color w:val="525866"/>
          <w:sz w:val="22"/>
        </w:rPr>
        <w:t>Implication:</w:t>
      </w:r>
      <w:r>
        <w:rPr>
          <w:rFonts w:ascii="Calibri" w:hAnsi="Calibri"/>
          <w:color w:val="525866"/>
          <w:sz w:val="22"/>
        </w:rPr>
        <w:t xml:space="preserve"> Secures physical infrastructure for AMD AI solutions at scale; AMD stock fell 4.6% on the day amid a broader chip selloff, but the deal is strategically significant for the Helios deployment pipeline.</w:t>
      </w:r>
    </w:p>
    <w:p>
      <w:pPr>
        <w:pStyle w:val="ListBullet"/>
        <w:ind w:left="360" w:hanging="360"/>
      </w:pPr>
      <w:r>
        <w:rPr>
          <w:rFonts w:ascii="Calibri" w:hAnsi="Calibri"/>
          <w:b/>
          <w:color w:val="525866"/>
          <w:sz w:val="22"/>
        </w:rPr>
        <w:t>July 23, 2026 — Advancing AI 2026 Keynote (Helios Launch, Venice Launch, Anthropic Partnership Formalized):</w:t>
      </w:r>
      <w:r>
        <w:rPr>
          <w:rFonts w:ascii="Calibri" w:hAnsi="Calibri"/>
          <w:color w:val="525866"/>
          <w:sz w:val="22"/>
        </w:rPr>
        <w:t xml:space="preserve"> AMD officially launched Helios (in full production, first shipments end of Q3), EPYC Venice (in volume production on TSMC 2nm), MI455X GPUs, and ROCm 7/ROCm.ai. AMD raised the AI accelerator TAM to $1.4T by 2030 and the server CPU TAM to &gt;$220B by 2030. Customers confirmed: Anthropic, OpenAI, Meta, Microsoft Azure, Oracle, Cerebras. </w:t>
      </w:r>
      <w:r>
        <w:rPr>
          <w:rFonts w:ascii="Calibri" w:hAnsi="Calibri"/>
          <w:i/>
          <w:color w:val="525866"/>
          <w:sz w:val="22"/>
        </w:rPr>
        <w:t>Implication:</w:t>
      </w:r>
      <w:r>
        <w:rPr>
          <w:rFonts w:ascii="Calibri" w:hAnsi="Calibri"/>
          <w:color w:val="525866"/>
          <w:sz w:val="22"/>
        </w:rPr>
        <w:t xml:space="preserve"> Largest single-day product and partnership announcement in AMD’s AI era; sets the stage for a strong Q3 guide and multi-year revenue visibility.</w:t>
      </w:r>
    </w:p>
    <w:p>
      <w:pPr>
        <w:pStyle w:val="ListBullet"/>
        <w:ind w:left="360" w:hanging="360"/>
      </w:pPr>
      <w:r>
        <w:rPr>
          <w:rFonts w:ascii="Calibri" w:hAnsi="Calibri"/>
          <w:b/>
          <w:color w:val="525866"/>
          <w:sz w:val="22"/>
        </w:rPr>
        <w:t>July 22, 2026 — Anthropic Strategic Partnership ($5B Investment + 2GW MI455X Deal):</w:t>
      </w:r>
      <w:r>
        <w:rPr>
          <w:rFonts w:ascii="Calibri" w:hAnsi="Calibri"/>
          <w:color w:val="525866"/>
          <w:sz w:val="22"/>
        </w:rPr>
        <w:t xml:space="preserve"> AMD announced an equity investment of up to $5B in Anthropic (AMD’s first equity stake in an AI lab) alongside a commitment for up to 2 gigawatts of MI455X/Helios deployments, with the first gigawatt beginning H1 2027. AMD is also in talks to provide financial backing for Anthropic data center leases. </w:t>
      </w:r>
      <w:r>
        <w:rPr>
          <w:rFonts w:ascii="Calibri" w:hAnsi="Calibri"/>
          <w:i/>
          <w:color w:val="525866"/>
          <w:sz w:val="22"/>
        </w:rPr>
        <w:t>Implication:</w:t>
      </w:r>
      <w:r>
        <w:rPr>
          <w:rFonts w:ascii="Calibri" w:hAnsi="Calibri"/>
          <w:color w:val="525866"/>
          <w:sz w:val="22"/>
        </w:rPr>
        <w:t xml:space="preserve"> Brings total disclosed gigawatt-scale pipeline to ~20GW across five hyperscaler/AI lab customers; raises circular financing questions but validates AMD’s position as a credible NVIDIA alternative for frontier model builders.</w:t>
      </w:r>
    </w:p>
    <w:p>
      <w:pPr>
        <w:pStyle w:val="ListBullet"/>
        <w:ind w:left="360" w:hanging="360"/>
      </w:pPr>
      <w:r>
        <w:rPr>
          <w:rFonts w:ascii="Calibri" w:hAnsi="Calibri"/>
          <w:b/>
          <w:color w:val="525866"/>
          <w:sz w:val="22"/>
        </w:rPr>
        <w:t>July 20, 2026 — Microsoft Azure Helios Deployment Announced:</w:t>
      </w:r>
      <w:r>
        <w:rPr>
          <w:rFonts w:ascii="Calibri" w:hAnsi="Calibri"/>
          <w:color w:val="525866"/>
          <w:sz w:val="22"/>
        </w:rPr>
        <w:t xml:space="preserve"> Microsoft announced plans to use AMD’s Helios AI infrastructure platform and EPYC processors for Azure cloud services. AMD stock jumped 5.1% to $521.23. </w:t>
      </w:r>
      <w:r>
        <w:rPr>
          <w:rFonts w:ascii="Calibri" w:hAnsi="Calibri"/>
          <w:i/>
          <w:color w:val="525866"/>
          <w:sz w:val="22"/>
        </w:rPr>
        <w:t>Implication:</w:t>
      </w:r>
      <w:r>
        <w:rPr>
          <w:rFonts w:ascii="Calibri" w:hAnsi="Calibri"/>
          <w:color w:val="525866"/>
          <w:sz w:val="22"/>
        </w:rPr>
        <w:t xml:space="preserve"> Adds the world’s largest cloud provider to the Helios customer list; validates rack-scale system readiness ahead of Q3 shipments.</w:t>
      </w:r>
    </w:p>
    <w:p>
      <w:pPr>
        <w:pStyle w:val="ListBullet"/>
        <w:ind w:left="360" w:hanging="360"/>
      </w:pPr>
      <w:r>
        <w:rPr>
          <w:rFonts w:ascii="Calibri" w:hAnsi="Calibri"/>
          <w:b/>
          <w:color w:val="525866"/>
          <w:sz w:val="22"/>
        </w:rPr>
        <w:t>July 24, 2026 — AMD-Cerebras Partnership Announced:</w:t>
      </w:r>
      <w:r>
        <w:rPr>
          <w:rFonts w:ascii="Calibri" w:hAnsi="Calibri"/>
          <w:color w:val="525866"/>
          <w:sz w:val="22"/>
        </w:rPr>
        <w:t xml:space="preserve"> AMD and Cerebras announced a technical partnership combining Helios with Cerebras’ wafer-scale engine for ultra-low latency inference, targeting 5x throughput improvement. Expected in market later in 2026. </w:t>
      </w:r>
      <w:r>
        <w:rPr>
          <w:rFonts w:ascii="Calibri" w:hAnsi="Calibri"/>
          <w:i/>
          <w:color w:val="525866"/>
          <w:sz w:val="22"/>
        </w:rPr>
        <w:t>Implication:</w:t>
      </w:r>
      <w:r>
        <w:rPr>
          <w:rFonts w:ascii="Calibri" w:hAnsi="Calibri"/>
          <w:color w:val="525866"/>
          <w:sz w:val="22"/>
        </w:rPr>
        <w:t xml:space="preserve"> Expands AMD’s inference ecosystem and addresses a key NVIDIA competitive moat in low-latency workloads.</w:t>
      </w:r>
    </w:p>
    <w:p>
      <w:pPr>
        <w:pStyle w:val="ListBullet"/>
        <w:ind w:left="360" w:hanging="360"/>
      </w:pPr>
      <w:r>
        <w:rPr>
          <w:rFonts w:ascii="Calibri" w:hAnsi="Calibri"/>
          <w:b/>
          <w:color w:val="525866"/>
          <w:sz w:val="22"/>
        </w:rPr>
        <w:t>July 1, 2026 — AMD Boosts Executive Pay, Grants Multi-Million Dollar Performance-Based Equity (8-K):</w:t>
      </w:r>
      <w:r>
        <w:rPr>
          <w:rFonts w:ascii="Calibri" w:hAnsi="Calibri"/>
          <w:color w:val="525866"/>
          <w:sz w:val="22"/>
        </w:rPr>
        <w:t xml:space="preserve"> AMD filed an 8-K disclosing increased executive compensation and performance-based equity grants. </w:t>
      </w:r>
      <w:r>
        <w:rPr>
          <w:rFonts w:ascii="Calibri" w:hAnsi="Calibri"/>
          <w:i/>
          <w:color w:val="525866"/>
          <w:sz w:val="22"/>
        </w:rPr>
        <w:t>Implication:</w:t>
      </w:r>
      <w:r>
        <w:rPr>
          <w:rFonts w:ascii="Calibri" w:hAnsi="Calibri"/>
          <w:color w:val="525866"/>
          <w:sz w:val="22"/>
        </w:rPr>
        <w:t xml:space="preserve"> Signals board confidence in long-term targets; performance-based structure aligns management with the &gt;$20 non-GAAP EPS milestone.</w:t>
      </w:r>
    </w:p>
    <w:p>
      <w:pPr>
        <w:pStyle w:val="ListBullet"/>
        <w:ind w:left="360" w:hanging="360"/>
      </w:pPr>
      <w:r>
        <w:rPr>
          <w:rFonts w:ascii="Calibri" w:hAnsi="Calibri"/>
          <w:b/>
          <w:color w:val="525866"/>
          <w:sz w:val="22"/>
        </w:rPr>
        <w:t>June 10, 2026 — AMD Invests $350M in TensorWave:</w:t>
      </w:r>
      <w:r>
        <w:rPr>
          <w:rFonts w:ascii="Calibri" w:hAnsi="Calibri"/>
          <w:color w:val="525866"/>
          <w:sz w:val="22"/>
        </w:rPr>
        <w:t xml:space="preserve"> AMD invested $350M in TensorWave, a cloud startup exclusively using AMD chips, drawing comparisons to NVIDIA’s circular financing strategy. </w:t>
      </w:r>
      <w:r>
        <w:rPr>
          <w:rFonts w:ascii="Calibri" w:hAnsi="Calibri"/>
          <w:i/>
          <w:color w:val="525866"/>
          <w:sz w:val="22"/>
        </w:rPr>
        <w:t>Implication:</w:t>
      </w:r>
      <w:r>
        <w:rPr>
          <w:rFonts w:ascii="Calibri" w:hAnsi="Calibri"/>
          <w:color w:val="525866"/>
          <w:sz w:val="22"/>
        </w:rPr>
        <w:t xml:space="preserve"> Raises questions about demand quality but also demonstrates AMD’s willingness to seed its ecosystem; modest in scale relative to the Anthropic deal.</w:t>
      </w:r>
    </w:p>
    <w:p>
      <w:pPr>
        <w:pStyle w:val="ListBullet"/>
        <w:ind w:left="360" w:hanging="360"/>
      </w:pPr>
      <w:r>
        <w:rPr>
          <w:rFonts w:ascii="Calibri" w:hAnsi="Calibri"/>
          <w:b/>
          <w:color w:val="525866"/>
          <w:sz w:val="22"/>
        </w:rPr>
        <w:t>May 15, 2026 — AMD Establishes $5B Credit Facility + Expanded Commercial Paper Program (8-K):</w:t>
      </w:r>
      <w:r>
        <w:rPr>
          <w:rFonts w:ascii="Calibri" w:hAnsi="Calibri"/>
          <w:color w:val="525866"/>
          <w:sz w:val="22"/>
        </w:rPr>
        <w:t xml:space="preserve"> AMD bolstered financial flexibility with a new $5B revolving credit line and expanded commercial paper program. </w:t>
      </w:r>
      <w:r>
        <w:rPr>
          <w:rFonts w:ascii="Calibri" w:hAnsi="Calibri"/>
          <w:i/>
          <w:color w:val="525866"/>
          <w:sz w:val="22"/>
        </w:rPr>
        <w:t>Implication:</w:t>
      </w:r>
      <w:r>
        <w:rPr>
          <w:rFonts w:ascii="Calibri" w:hAnsi="Calibri"/>
          <w:color w:val="525866"/>
          <w:sz w:val="22"/>
        </w:rPr>
        <w:t xml:space="preserve"> Provides balance sheet capacity for the Anthropic equity investment and potential data center lease backstops without diluting shareholders.</w:t>
      </w:r>
    </w:p>
    <w:p>
      <w:pPr>
        <w:pStyle w:val="ListBullet"/>
        <w:ind w:left="360" w:hanging="360"/>
      </w:pPr>
      <w:r>
        <w:rPr>
          <w:rFonts w:ascii="Calibri" w:hAnsi="Calibri"/>
          <w:b/>
          <w:color w:val="525866"/>
          <w:sz w:val="22"/>
        </w:rPr>
        <w:t>May 21, 2026 — AMD Announces $10B Investment in Taiwan:</w:t>
      </w:r>
      <w:r>
        <w:rPr>
          <w:rFonts w:ascii="Calibri" w:hAnsi="Calibri"/>
          <w:color w:val="525866"/>
          <w:sz w:val="22"/>
        </w:rPr>
        <w:t xml:space="preserve"> AMD announced a $10B investment in Taiwan’s AI and semiconductor industry to advance next-generation chip technology and manufacturing. </w:t>
      </w:r>
      <w:r>
        <w:rPr>
          <w:rFonts w:ascii="Calibri" w:hAnsi="Calibri"/>
          <w:i/>
          <w:color w:val="525866"/>
          <w:sz w:val="22"/>
        </w:rPr>
        <w:t>Implication:</w:t>
      </w:r>
      <w:r>
        <w:rPr>
          <w:rFonts w:ascii="Calibri" w:hAnsi="Calibri"/>
          <w:color w:val="525866"/>
          <w:sz w:val="22"/>
        </w:rPr>
        <w:t xml:space="preserve"> Deepens TSMC partnership and secures long-term supply chain access for 2nm and below nodes critical for MI500/MI600 roadmap.</w:t>
      </w:r>
    </w:p>
    <w:p>
      <w:pPr>
        <w:pStyle w:val="ListBullet"/>
        <w:ind w:left="360" w:hanging="360"/>
      </w:pPr>
      <w:r>
        <w:rPr>
          <w:rFonts w:ascii="Calibri" w:hAnsi="Calibri"/>
          <w:b/>
          <w:color w:val="525866"/>
          <w:sz w:val="22"/>
        </w:rPr>
        <w:t>June 1, 2026 — NVIDIA RTX Spark PC Chip Announcement:</w:t>
      </w:r>
      <w:r>
        <w:rPr>
          <w:rFonts w:ascii="Calibri" w:hAnsi="Calibri"/>
          <w:color w:val="525866"/>
          <w:sz w:val="22"/>
        </w:rPr>
        <w:t xml:space="preserve"> NVIDIA announced a new AI PC chip targeting Intel and AMD’s client CPU market, sending AMD and INTC shares sharply lower. </w:t>
      </w:r>
      <w:r>
        <w:rPr>
          <w:rFonts w:ascii="Calibri" w:hAnsi="Calibri"/>
          <w:i/>
          <w:color w:val="525866"/>
          <w:sz w:val="22"/>
        </w:rPr>
        <w:t>Implication:</w:t>
      </w:r>
      <w:r>
        <w:rPr>
          <w:rFonts w:ascii="Calibri" w:hAnsi="Calibri"/>
          <w:color w:val="525866"/>
          <w:sz w:val="22"/>
        </w:rPr>
        <w:t xml:space="preserve"> Incremental competitive risk in the Client segment, though AMD’s primary growth driver (Data Center) is unaffected.</w:t>
      </w:r>
    </w:p>
    <w:p>
      <w:pPr>
        <w:pStyle w:val="ListBullet"/>
        <w:ind w:left="360" w:hanging="360"/>
      </w:pPr>
      <w:r>
        <w:rPr>
          <w:rFonts w:ascii="Calibri" w:hAnsi="Calibri"/>
          <w:b/>
          <w:color w:val="525866"/>
          <w:sz w:val="22"/>
        </w:rPr>
        <w:t>July 30, 2026 — Chip Sector Rally on Lam Research / Microsoft / Arm Earnings:</w:t>
      </w:r>
      <w:r>
        <w:rPr>
          <w:rFonts w:ascii="Calibri" w:hAnsi="Calibri"/>
          <w:color w:val="525866"/>
          <w:sz w:val="22"/>
        </w:rPr>
        <w:t xml:space="preserve"> AMD surged alongside semiconductor peers following strong earnings from Lam Research, Microsoft, and Arm that boosted the chip sector. </w:t>
      </w:r>
      <w:r>
        <w:rPr>
          <w:rFonts w:ascii="Calibri" w:hAnsi="Calibri"/>
          <w:i/>
          <w:color w:val="525866"/>
          <w:sz w:val="22"/>
        </w:rPr>
        <w:t>Implication:</w:t>
      </w:r>
      <w:r>
        <w:rPr>
          <w:rFonts w:ascii="Calibri" w:hAnsi="Calibri"/>
          <w:color w:val="525866"/>
          <w:sz w:val="22"/>
        </w:rPr>
        <w:t xml:space="preserve"> Positive read-through for AI infrastructure demand heading into AMD’s own print.</w:t>
      </w:r>
    </w:p>
    <w:p>
      <w:r>
        <w:br w:type="page"/>
      </w:r>
    </w:p>
    <w:p>
      <w:pPr>
        <w:pStyle w:val="Heading1"/>
        <w:pBdr>
          <w:bottom w:val="single" w:sz="4" w:space="1" w:color="FB9120"/>
        </w:pBdr>
      </w:pPr>
      <w:r>
        <w:rPr>
          <w:rFonts w:ascii="Calibri" w:hAnsi="Calibri"/>
          <w:b/>
          <w:color w:val="3B4259"/>
          <w:sz w:val="40"/>
        </w:rPr>
        <w:t>7. Peer Commentaries &amp; Read-Throughs (June 4 – August 3, 2026)</w:t>
      </w:r>
    </w:p>
    <w:p>
      <w:r>
        <w:rPr>
          <w:rFonts w:ascii="Calibri" w:hAnsi="Calibri"/>
          <w:b/>
          <w:color w:val="525866"/>
          <w:sz w:val="22"/>
        </w:rPr>
        <w:t xml:space="preserve">Key Takeaway: </w:t>
      </w:r>
      <w:r>
        <w:rPr>
          <w:rFonts w:ascii="Calibri" w:hAnsi="Calibri"/>
          <w:color w:val="525866"/>
          <w:sz w:val="22"/>
        </w:rPr>
        <w:t>Peer commentary from the last 60 days is overwhelmingly positive for AMD’s Data Center and server CPU businesses — TSMC, Micron, Intel, and Arista all confirm accelerating AI infrastructure demand, rising server unit growth, and agentic AI driving CPU TAM expansion; the only meaningful negative read-through is Intel’s strong Xeon 6 / Granite Rapids performance, which signals intensifying server CPU competition.</w:t>
      </w:r>
    </w:p>
    <w:p>
      <w:r>
        <w:rPr>
          <w:rFonts w:ascii="Calibri" w:hAnsi="Calibri"/>
          <w:color w:val="525866"/>
          <w:sz w:val="22"/>
        </w:rPr>
        <w:t>Note: Only commentary from June 4–August 3, 2026 discussing the peer’s then-current or forward reporting period is included below. Prior-quarter result commentary has been excluded.</w:t>
      </w:r>
    </w:p>
    <w:p>
      <w:pPr>
        <w:pStyle w:val="Heading2"/>
      </w:pPr>
      <w:r>
        <w:rPr>
          <w:rFonts w:ascii="Calibri" w:hAnsi="Calibri"/>
          <w:b/>
          <w:color w:val="3B4259"/>
          <w:sz w:val="28"/>
        </w:rPr>
        <w:t>TSMC — Q2 2026 Earnings Call (July 16, 2026)</w:t>
      </w:r>
    </w:p>
    <w:p>
      <w:r>
        <w:rPr>
          <w:rFonts w:ascii="Calibri" w:hAnsi="Calibri"/>
          <w:b/>
          <w:color w:val="525866"/>
          <w:sz w:val="22"/>
        </w:rPr>
        <w:t xml:space="preserve">Reporting Period Discussed: </w:t>
      </w:r>
      <w:r>
        <w:rPr>
          <w:rFonts w:ascii="Calibri" w:hAnsi="Calibri"/>
          <w:color w:val="525866"/>
          <w:sz w:val="22"/>
        </w:rPr>
        <w:t>Q3 2026 guidance and forward AI/HPC demand outlook</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TSMC Commentary</w:t>
            </w:r>
          </w:p>
        </w:tc>
        <w:tc>
          <w:tcPr>
            <w:tcW w:type="dxa" w:w="2160"/>
            <w:shd w:val="clear" w:color="auto" w:fill="3B4259"/>
          </w:tcPr>
          <w:p>
            <w:r>
              <w:rPr>
                <w:rFonts w:ascii="Calibri" w:hAnsi="Calibri"/>
                <w:b/>
                <w:color w:val="FFFFFF"/>
                <w:sz w:val="22"/>
              </w:rPr>
              <w:t>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 Demand Trajectory</w:t>
            </w:r>
          </w:p>
        </w:tc>
        <w:tc>
          <w:tcPr>
            <w:tcW w:type="dxa" w:w="2160"/>
          </w:tcPr>
          <w:p>
            <w:r>
              <w:rPr>
                <w:rFonts w:ascii="Calibri" w:hAnsi="Calibri"/>
                <w:sz w:val="22"/>
              </w:rPr>
              <w:t>"AI related demand continues to be extremely robust… stronger and stronger and stronger than what we said before." Q3 2026 revenue guided to $44.6–45.8B (+37% YoY at midpoint). Full-year 2026 CapEx raised to $60–64B.</w:t>
            </w:r>
          </w:p>
        </w:tc>
        <w:tc>
          <w:tcPr>
            <w:tcW w:type="dxa" w:w="2160"/>
          </w:tcPr>
          <w:p>
            <w:r>
              <w:rPr>
                <w:rFonts w:ascii="Calibri" w:hAnsi="Calibri"/>
                <w:sz w:val="22"/>
              </w:rPr>
              <w:t>Directly validates AMD’s Data Center AI revenue trajectory and Helios demand. TSMC is AMD’s sole foundry for MI455X (2nm/3nm) and Venice (2nm).</w:t>
            </w:r>
          </w:p>
        </w:tc>
        <w:tc>
          <w:tcPr>
            <w:tcW w:type="dxa" w:w="2160"/>
          </w:tcPr>
          <w:p>
            <w:r>
              <w:rPr>
                <w:rFonts w:ascii="Calibri" w:hAnsi="Calibri"/>
                <w:b/>
                <w:color w:val="30A46C"/>
                <w:sz w:val="22"/>
              </w:rPr>
              <w:t>POSITIVE</w:t>
            </w:r>
          </w:p>
        </w:tc>
      </w:tr>
      <w:tr>
        <w:tc>
          <w:tcPr>
            <w:tcW w:type="dxa" w:w="2160"/>
          </w:tcPr>
          <w:p>
            <w:r>
              <w:rPr>
                <w:rFonts w:ascii="Calibri" w:hAnsi="Calibri"/>
                <w:sz w:val="22"/>
              </w:rPr>
              <w:t>CPU Resurgence in AI Data Centers</w:t>
            </w:r>
          </w:p>
        </w:tc>
        <w:tc>
          <w:tcPr>
            <w:tcW w:type="dxa" w:w="2160"/>
          </w:tcPr>
          <w:p>
            <w:r>
              <w:rPr>
                <w:rFonts w:ascii="Calibri" w:hAnsi="Calibri"/>
                <w:sz w:val="22"/>
              </w:rPr>
              <w:t>"The emergence of AI is leading to a resurgence in the role of CPUs in AI data centers… no matter what CPU approach is taken, whether x86, ARM-based or RISC-V, they are almost all TSMC customers. We are collaborating closely with our CPU customers to support them with the most advanced technologies."</w:t>
            </w:r>
          </w:p>
        </w:tc>
        <w:tc>
          <w:tcPr>
            <w:tcW w:type="dxa" w:w="2160"/>
          </w:tcPr>
          <w:p>
            <w:r>
              <w:rPr>
                <w:rFonts w:ascii="Calibri" w:hAnsi="Calibri"/>
                <w:sz w:val="22"/>
              </w:rPr>
              <w:t>Strongly corroborates AMD’s server CPU TAM expansion thesis. TSMC is actively allocating 2nm capacity to support AMD’s Venice ramp for agentic AI workloads.</w:t>
            </w:r>
          </w:p>
        </w:tc>
        <w:tc>
          <w:tcPr>
            <w:tcW w:type="dxa" w:w="2160"/>
          </w:tcPr>
          <w:p>
            <w:r>
              <w:rPr>
                <w:rFonts w:ascii="Calibri" w:hAnsi="Calibri"/>
                <w:b/>
                <w:color w:val="30A46C"/>
                <w:sz w:val="22"/>
              </w:rPr>
              <w:t>POSITIVE</w:t>
            </w:r>
          </w:p>
        </w:tc>
      </w:tr>
      <w:tr>
        <w:tc>
          <w:tcPr>
            <w:tcW w:type="dxa" w:w="2160"/>
          </w:tcPr>
          <w:p>
            <w:r>
              <w:rPr>
                <w:rFonts w:ascii="Calibri" w:hAnsi="Calibri"/>
                <w:sz w:val="22"/>
              </w:rPr>
              <w:t>Supply Constraints (Packaging)</w:t>
            </w:r>
          </w:p>
        </w:tc>
        <w:tc>
          <w:tcPr>
            <w:tcW w:type="dxa" w:w="2160"/>
          </w:tcPr>
          <w:p>
            <w:r>
              <w:rPr>
                <w:rFonts w:ascii="Calibri" w:hAnsi="Calibri"/>
                <w:sz w:val="22"/>
              </w:rPr>
              <w:t>"Packaging capacity is so tight that now is limited by customer growth." Tester shortages also flagged. Gap between demand and supply for 3nm and below described as "really big."</w:t>
            </w:r>
          </w:p>
        </w:tc>
        <w:tc>
          <w:tcPr>
            <w:tcW w:type="dxa" w:w="2160"/>
          </w:tcPr>
          <w:p>
            <w:r>
              <w:rPr>
                <w:rFonts w:ascii="Calibri" w:hAnsi="Calibri"/>
                <w:sz w:val="22"/>
              </w:rPr>
              <w:t>AMD’s ability to fully meet Helios/MI455X demand may be constrained by TSMC’s CoWoS advanced packaging capacity — a potential ceiling on Q3/Q4 upside.</w:t>
            </w:r>
          </w:p>
        </w:tc>
        <w:tc>
          <w:tcPr>
            <w:tcW w:type="dxa" w:w="2160"/>
          </w:tcPr>
          <w:p>
            <w:r>
              <w:rPr>
                <w:rFonts w:ascii="Calibri" w:hAnsi="Calibri"/>
                <w:b/>
                <w:color w:val="002FA7"/>
                <w:sz w:val="22"/>
              </w:rPr>
              <w:t>MIXED</w:t>
            </w:r>
          </w:p>
        </w:tc>
      </w:tr>
      <w:tr>
        <w:tc>
          <w:tcPr>
            <w:tcW w:type="dxa" w:w="2160"/>
          </w:tcPr>
          <w:p>
            <w:r>
              <w:rPr>
                <w:rFonts w:ascii="Calibri" w:hAnsi="Calibri"/>
                <w:sz w:val="22"/>
              </w:rPr>
              <w:t>Long-Term Demand Visibility</w:t>
            </w:r>
          </w:p>
        </w:tc>
        <w:tc>
          <w:tcPr>
            <w:tcW w:type="dxa" w:w="2160"/>
          </w:tcPr>
          <w:p>
            <w:r>
              <w:rPr>
                <w:rFonts w:ascii="Calibri" w:hAnsi="Calibri"/>
                <w:sz w:val="22"/>
              </w:rPr>
              <w:t>"From this day on all the way to probably 2029, 2030, the demand is very strong… we are witnessing a new industry called AI industry." Additional $100B Arizona investment announced.</w:t>
            </w:r>
          </w:p>
        </w:tc>
        <w:tc>
          <w:tcPr>
            <w:tcW w:type="dxa" w:w="2160"/>
          </w:tcPr>
          <w:p>
            <w:r>
              <w:rPr>
                <w:rFonts w:ascii="Calibri" w:hAnsi="Calibri"/>
                <w:sz w:val="22"/>
              </w:rPr>
              <w:t>Provides multi-year foundry capacity commitment that underpins AMD’s MI500 (2027) and MI600 (2028) roadmap execution.</w:t>
            </w:r>
          </w:p>
        </w:tc>
        <w:tc>
          <w:tcPr>
            <w:tcW w:type="dxa" w:w="2160"/>
          </w:tcPr>
          <w:p>
            <w:r>
              <w:rPr>
                <w:rFonts w:ascii="Calibri" w:hAnsi="Calibri"/>
                <w:b/>
                <w:color w:val="30A46C"/>
                <w:sz w:val="22"/>
              </w:rPr>
              <w:t>POSITIVE</w:t>
            </w:r>
          </w:p>
        </w:tc>
      </w:tr>
    </w:tbl>
    <w:p>
      <w:pPr>
        <w:pStyle w:val="Heading2"/>
      </w:pPr>
      <w:r>
        <w:rPr>
          <w:rFonts w:ascii="Calibri" w:hAnsi="Calibri"/>
          <w:b/>
          <w:color w:val="3B4259"/>
          <w:sz w:val="28"/>
        </w:rPr>
        <w:t>Intel — Q2 2026 Earnings Call (July 23, 2026)</w:t>
      </w:r>
    </w:p>
    <w:p>
      <w:r>
        <w:rPr>
          <w:rFonts w:ascii="Calibri" w:hAnsi="Calibri"/>
          <w:b/>
          <w:color w:val="525866"/>
          <w:sz w:val="22"/>
        </w:rPr>
        <w:t xml:space="preserve">Reporting Period Discussed: </w:t>
      </w:r>
      <w:r>
        <w:rPr>
          <w:rFonts w:ascii="Calibri" w:hAnsi="Calibri"/>
          <w:color w:val="525866"/>
          <w:sz w:val="22"/>
        </w:rPr>
        <w:t>Q3 2026 guidance and forward server CPU / data center demand outlook</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Intel Commentary</w:t>
            </w:r>
          </w:p>
        </w:tc>
        <w:tc>
          <w:tcPr>
            <w:tcW w:type="dxa" w:w="2160"/>
            <w:shd w:val="clear" w:color="auto" w:fill="3B4259"/>
          </w:tcPr>
          <w:p>
            <w:r>
              <w:rPr>
                <w:rFonts w:ascii="Calibri" w:hAnsi="Calibri"/>
                <w:b/>
                <w:color w:val="FFFFFF"/>
                <w:sz w:val="22"/>
              </w:rPr>
              <w:t>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AI/Data Center Demand</w:t>
            </w:r>
          </w:p>
        </w:tc>
        <w:tc>
          <w:tcPr>
            <w:tcW w:type="dxa" w:w="2160"/>
          </w:tcPr>
          <w:p>
            <w:r>
              <w:rPr>
                <w:rFonts w:ascii="Calibri" w:hAnsi="Calibri"/>
                <w:sz w:val="22"/>
              </w:rPr>
              <w:t>"Customers continue to signal a strong and sustainable spending environment driven by the unprecedented demand for AI compute." Intel’s AI-driven businesses grew &gt;70% YoY; DCI revenue of $6.3B was +59% YoY and +24% sequentially, "meaningfully ahead of expectations."</w:t>
            </w:r>
          </w:p>
        </w:tc>
        <w:tc>
          <w:tcPr>
            <w:tcW w:type="dxa" w:w="2160"/>
          </w:tcPr>
          <w:p>
            <w:r>
              <w:rPr>
                <w:rFonts w:ascii="Calibri" w:hAnsi="Calibri"/>
                <w:sz w:val="22"/>
              </w:rPr>
              <w:t>Confirms the AI data center spending environment is robust and sustainable — a rising tide that benefits AMD’s Data Center segment heading into Q2.</w:t>
            </w:r>
          </w:p>
        </w:tc>
        <w:tc>
          <w:tcPr>
            <w:tcW w:type="dxa" w:w="2160"/>
          </w:tcPr>
          <w:p>
            <w:r>
              <w:rPr>
                <w:rFonts w:ascii="Calibri" w:hAnsi="Calibri"/>
                <w:b/>
                <w:color w:val="30A46C"/>
                <w:sz w:val="22"/>
              </w:rPr>
              <w:t>POSITIVE</w:t>
            </w:r>
          </w:p>
        </w:tc>
      </w:tr>
      <w:tr>
        <w:tc>
          <w:tcPr>
            <w:tcW w:type="dxa" w:w="2160"/>
          </w:tcPr>
          <w:p>
            <w:r>
              <w:rPr>
                <w:rFonts w:ascii="Calibri" w:hAnsi="Calibri"/>
                <w:sz w:val="22"/>
              </w:rPr>
              <w:t>Server CPU Demand Outlook</w:t>
            </w:r>
          </w:p>
        </w:tc>
        <w:tc>
          <w:tcPr>
            <w:tcW w:type="dxa" w:w="2160"/>
          </w:tcPr>
          <w:p>
            <w:r>
              <w:rPr>
                <w:rFonts w:ascii="Calibri" w:hAnsi="Calibri"/>
                <w:sz w:val="22"/>
              </w:rPr>
              <w:t>"Our outlook for server CPU demand has improved again since our last earnings report, and we’re forecasting strong double-digit unit growth for the industry this year and next, with momentum extending into 2028." CPU-to-GPU ratio "almost at parity… could eventually skew more to CPUs on a unit basis."</w:t>
            </w:r>
          </w:p>
        </w:tc>
        <w:tc>
          <w:tcPr>
            <w:tcW w:type="dxa" w:w="2160"/>
          </w:tcPr>
          <w:p>
            <w:r>
              <w:rPr>
                <w:rFonts w:ascii="Calibri" w:hAnsi="Calibri"/>
                <w:sz w:val="22"/>
              </w:rPr>
              <w:t>Directly validates AMD’s server CPU TAM expansion thesis and agentic AI CPU demand narrative. Industry-wide double-digit unit growth is a tailwind for EPYC Venice.</w:t>
            </w:r>
          </w:p>
        </w:tc>
        <w:tc>
          <w:tcPr>
            <w:tcW w:type="dxa" w:w="2160"/>
          </w:tcPr>
          <w:p>
            <w:r>
              <w:rPr>
                <w:rFonts w:ascii="Calibri" w:hAnsi="Calibri"/>
                <w:b/>
                <w:color w:val="30A46C"/>
                <w:sz w:val="22"/>
              </w:rPr>
              <w:t>POSITIVE</w:t>
            </w:r>
          </w:p>
        </w:tc>
      </w:tr>
      <w:tr>
        <w:tc>
          <w:tcPr>
            <w:tcW w:type="dxa" w:w="2160"/>
          </w:tcPr>
          <w:p>
            <w:r>
              <w:rPr>
                <w:rFonts w:ascii="Calibri" w:hAnsi="Calibri"/>
                <w:sz w:val="22"/>
              </w:rPr>
              <w:t>Intel’s Own Server CPU Competitiveness</w:t>
            </w:r>
          </w:p>
        </w:tc>
        <w:tc>
          <w:tcPr>
            <w:tcW w:type="dxa" w:w="2160"/>
          </w:tcPr>
          <w:p>
            <w:r>
              <w:rPr>
                <w:rFonts w:ascii="Calibri" w:hAnsi="Calibri"/>
                <w:sz w:val="22"/>
              </w:rPr>
              <w:t>"Q2 year-over-year server growth was the strongest on record, and Xeon 6 continued to be one of the fastest ramping products in Intel history." Granite Rapids demand described as "extremely tight." Intel admits "some areas we are still behind, but we are catching up very fast."</w:t>
            </w:r>
          </w:p>
        </w:tc>
        <w:tc>
          <w:tcPr>
            <w:tcW w:type="dxa" w:w="2160"/>
          </w:tcPr>
          <w:p>
            <w:r>
              <w:rPr>
                <w:rFonts w:ascii="Calibri" w:hAnsi="Calibri"/>
                <w:sz w:val="22"/>
              </w:rPr>
              <w:t>Intel’s strong Xeon 6 ramp and Granite Rapids demand signal intensifying competition for AMD’s EPYC in the server CPU market — the primary negative read-through from Intel’s print.</w:t>
            </w:r>
          </w:p>
        </w:tc>
        <w:tc>
          <w:tcPr>
            <w:tcW w:type="dxa" w:w="2160"/>
          </w:tcPr>
          <w:p>
            <w:r>
              <w:rPr>
                <w:rFonts w:ascii="Calibri" w:hAnsi="Calibri"/>
                <w:b/>
                <w:color w:val="E5484D"/>
                <w:sz w:val="22"/>
              </w:rPr>
              <w:t>NEGATIVE</w:t>
            </w:r>
          </w:p>
        </w:tc>
      </w:tr>
      <w:tr>
        <w:tc>
          <w:tcPr>
            <w:tcW w:type="dxa" w:w="2160"/>
          </w:tcPr>
          <w:p>
            <w:r>
              <w:rPr>
                <w:rFonts w:ascii="Calibri" w:hAnsi="Calibri"/>
                <w:sz w:val="22"/>
              </w:rPr>
              <w:t>Supply Constraints (Industry-Wide)</w:t>
            </w:r>
          </w:p>
        </w:tc>
        <w:tc>
          <w:tcPr>
            <w:tcW w:type="dxa" w:w="2160"/>
          </w:tcPr>
          <w:p>
            <w:r>
              <w:rPr>
                <w:rFonts w:ascii="Calibri" w:hAnsi="Calibri"/>
                <w:sz w:val="22"/>
              </w:rPr>
              <w:t>"Industry is facing one of the most severe supply constraints in its history across leading-edge logic, silicon wafers, memory, and substrates. These shortages will persist for the foreseeable future." Intel raising 2026 CapEx to &gt;$20B.</w:t>
            </w:r>
          </w:p>
        </w:tc>
        <w:tc>
          <w:tcPr>
            <w:tcW w:type="dxa" w:w="2160"/>
          </w:tcPr>
          <w:p>
            <w:r>
              <w:rPr>
                <w:rFonts w:ascii="Calibri" w:hAnsi="Calibri"/>
                <w:sz w:val="22"/>
              </w:rPr>
              <w:t>Industry supply constraints could limit AMD’s ability to fully capitalize on demand; however, Intel’s own supply shortfalls may redirect some customers toward AMD where AMD has supply.</w:t>
            </w:r>
          </w:p>
        </w:tc>
        <w:tc>
          <w:tcPr>
            <w:tcW w:type="dxa" w:w="2160"/>
          </w:tcPr>
          <w:p>
            <w:r>
              <w:rPr>
                <w:rFonts w:ascii="Calibri" w:hAnsi="Calibri"/>
                <w:b/>
                <w:color w:val="002FA7"/>
                <w:sz w:val="22"/>
              </w:rPr>
              <w:t>MIXED</w:t>
            </w:r>
          </w:p>
        </w:tc>
      </w:tr>
    </w:tbl>
    <w:p>
      <w:pPr>
        <w:pStyle w:val="Heading2"/>
      </w:pPr>
      <w:r>
        <w:rPr>
          <w:rFonts w:ascii="Calibri" w:hAnsi="Calibri"/>
          <w:b/>
          <w:color w:val="3B4259"/>
          <w:sz w:val="28"/>
        </w:rPr>
        <w:t>Micron Technology — Q3 FY2026 Earnings Call (June 24, 2026)</w:t>
      </w:r>
    </w:p>
    <w:p>
      <w:r>
        <w:rPr>
          <w:rFonts w:ascii="Calibri" w:hAnsi="Calibri"/>
          <w:b/>
          <w:color w:val="525866"/>
          <w:sz w:val="22"/>
        </w:rPr>
        <w:t xml:space="preserve">Reporting Period Discussed: </w:t>
      </w:r>
      <w:r>
        <w:rPr>
          <w:rFonts w:ascii="Calibri" w:hAnsi="Calibri"/>
          <w:color w:val="525866"/>
          <w:sz w:val="22"/>
        </w:rPr>
        <w:t>Q4 FY2026 guidance (calendar Q3 2026) and forward AI/server demand outlook</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Micron Commentary</w:t>
            </w:r>
          </w:p>
        </w:tc>
        <w:tc>
          <w:tcPr>
            <w:tcW w:type="dxa" w:w="2160"/>
            <w:shd w:val="clear" w:color="auto" w:fill="3B4259"/>
          </w:tcPr>
          <w:p>
            <w:r>
              <w:rPr>
                <w:rFonts w:ascii="Calibri" w:hAnsi="Calibri"/>
                <w:b/>
                <w:color w:val="FFFFFF"/>
                <w:sz w:val="22"/>
              </w:rPr>
              <w:t>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 Data Center Demand</w:t>
            </w:r>
          </w:p>
        </w:tc>
        <w:tc>
          <w:tcPr>
            <w:tcW w:type="dxa" w:w="2160"/>
          </w:tcPr>
          <w:p>
            <w:r>
              <w:rPr>
                <w:rFonts w:ascii="Calibri" w:hAnsi="Calibri"/>
                <w:sz w:val="22"/>
              </w:rPr>
              <w:t>"AI is driving unprecedented growth in data centers." Industry data center DRAM and NAND shipments in calendar 2026 expected to "more than double from two years ago." Q4 FY2026 revenue guided to a record $50B ±$1B.</w:t>
            </w:r>
          </w:p>
        </w:tc>
        <w:tc>
          <w:tcPr>
            <w:tcW w:type="dxa" w:w="2160"/>
          </w:tcPr>
          <w:p>
            <w:r>
              <w:rPr>
                <w:rFonts w:ascii="Calibri" w:hAnsi="Calibri"/>
                <w:sz w:val="22"/>
              </w:rPr>
              <w:t>Record memory demand is a direct proxy for accelerating AI infrastructure buildout — highly positive for AMD’s Data Center AI GPU and EPYC server CPU revenue in Q2 and beyond.</w:t>
            </w:r>
          </w:p>
        </w:tc>
        <w:tc>
          <w:tcPr>
            <w:tcW w:type="dxa" w:w="2160"/>
          </w:tcPr>
          <w:p>
            <w:r>
              <w:rPr>
                <w:rFonts w:ascii="Calibri" w:hAnsi="Calibri"/>
                <w:b/>
                <w:color w:val="30A46C"/>
                <w:sz w:val="22"/>
              </w:rPr>
              <w:t>POSITIVE</w:t>
            </w:r>
          </w:p>
        </w:tc>
      </w:tr>
      <w:tr>
        <w:tc>
          <w:tcPr>
            <w:tcW w:type="dxa" w:w="2160"/>
          </w:tcPr>
          <w:p>
            <w:r>
              <w:rPr>
                <w:rFonts w:ascii="Calibri" w:hAnsi="Calibri"/>
                <w:sz w:val="22"/>
              </w:rPr>
              <w:t>Agentic AI &amp; CPU Demand</w:t>
            </w:r>
          </w:p>
        </w:tc>
        <w:tc>
          <w:tcPr>
            <w:tcW w:type="dxa" w:w="2160"/>
          </w:tcPr>
          <w:p>
            <w:r>
              <w:rPr>
                <w:rFonts w:ascii="Calibri" w:hAnsi="Calibri"/>
                <w:sz w:val="22"/>
              </w:rPr>
              <w:t>"Agentic AI is structurally reshaping data center infrastructure, extending beyond accelerator-only racks to include CPU racks for the agent control plane and program execution." Calendar 2026 industry server units now expected to grow "high teens %" (raised from "low double digits"), driven by mid-teens growth in traditional servers and "even stronger growth in servers with AI accelerators."</w:t>
            </w:r>
          </w:p>
        </w:tc>
        <w:tc>
          <w:tcPr>
            <w:tcW w:type="dxa" w:w="2160"/>
          </w:tcPr>
          <w:p>
            <w:r>
              <w:rPr>
                <w:rFonts w:ascii="Calibri" w:hAnsi="Calibri"/>
                <w:sz w:val="22"/>
              </w:rPr>
              <w:t>Directly corroborates AMD’s agentic AI CPU TAM expansion thesis. The upward revision to server unit growth (high teens vs. low double digits) is a strong positive for EPYC Venice demand in H2 2026.</w:t>
            </w:r>
          </w:p>
        </w:tc>
        <w:tc>
          <w:tcPr>
            <w:tcW w:type="dxa" w:w="2160"/>
          </w:tcPr>
          <w:p>
            <w:r>
              <w:rPr>
                <w:rFonts w:ascii="Calibri" w:hAnsi="Calibri"/>
                <w:b/>
                <w:color w:val="30A46C"/>
                <w:sz w:val="22"/>
              </w:rPr>
              <w:t>POSITIVE</w:t>
            </w:r>
          </w:p>
        </w:tc>
      </w:tr>
      <w:tr>
        <w:tc>
          <w:tcPr>
            <w:tcW w:type="dxa" w:w="2160"/>
          </w:tcPr>
          <w:p>
            <w:r>
              <w:rPr>
                <w:rFonts w:ascii="Calibri" w:hAnsi="Calibri"/>
                <w:sz w:val="22"/>
              </w:rPr>
              <w:t>Memory Supply Tightness</w:t>
            </w:r>
          </w:p>
        </w:tc>
        <w:tc>
          <w:tcPr>
            <w:tcW w:type="dxa" w:w="2160"/>
          </w:tcPr>
          <w:p>
            <w:r>
              <w:rPr>
                <w:rFonts w:ascii="Calibri" w:hAnsi="Calibri"/>
                <w:sz w:val="22"/>
              </w:rPr>
              <w:t>"DRAM and NAND industry demand continues to significantly exceed industry supply. We expect tight conditions to persist beyond calendar 2027." HBM supply for AMD’s AI accelerators improving (HBM4 ramp tracking 2x faster than HBM3E).</w:t>
            </w:r>
          </w:p>
        </w:tc>
        <w:tc>
          <w:tcPr>
            <w:tcW w:type="dxa" w:w="2160"/>
          </w:tcPr>
          <w:p>
            <w:r>
              <w:rPr>
                <w:rFonts w:ascii="Calibri" w:hAnsi="Calibri"/>
                <w:sz w:val="22"/>
              </w:rPr>
              <w:t>Tight DRAM supply could constrain AMD’s customers’ ability to scale deployments; however, AMD’s server/data center products use memory acquired by OEM/ODM/hyperscaler partners, limiting AMD’s direct P&amp;L exposure. HBM4 ramp acceleration is a positive for MI455X supply.</w:t>
            </w:r>
          </w:p>
        </w:tc>
        <w:tc>
          <w:tcPr>
            <w:tcW w:type="dxa" w:w="2160"/>
          </w:tcPr>
          <w:p>
            <w:r>
              <w:rPr>
                <w:rFonts w:ascii="Calibri" w:hAnsi="Calibri"/>
                <w:b/>
                <w:color w:val="002FA7"/>
                <w:sz w:val="22"/>
              </w:rPr>
              <w:t>MIXED</w:t>
            </w:r>
          </w:p>
        </w:tc>
      </w:tr>
      <w:tr>
        <w:tc>
          <w:tcPr>
            <w:tcW w:type="dxa" w:w="2160"/>
          </w:tcPr>
          <w:p>
            <w:r>
              <w:rPr>
                <w:rFonts w:ascii="Calibri" w:hAnsi="Calibri"/>
                <w:sz w:val="22"/>
              </w:rPr>
              <w:t>Long-Term Customer Commitments</w:t>
            </w:r>
          </w:p>
        </w:tc>
        <w:tc>
          <w:tcPr>
            <w:tcW w:type="dxa" w:w="2160"/>
          </w:tcPr>
          <w:p>
            <w:r>
              <w:rPr>
                <w:rFonts w:ascii="Calibri" w:hAnsi="Calibri"/>
                <w:sz w:val="22"/>
              </w:rPr>
              <w:t>Micron signed 16 Strategic Customer Agreements (SCAs) covering ~25% of revenue through 2030 as "take or pay" agreements with binding volume commitments. These provide "unprecedented levels of profitability" and "tremendous visibility to demand."</w:t>
            </w:r>
          </w:p>
        </w:tc>
        <w:tc>
          <w:tcPr>
            <w:tcW w:type="dxa" w:w="2160"/>
          </w:tcPr>
          <w:p>
            <w:r>
              <w:rPr>
                <w:rFonts w:ascii="Calibri" w:hAnsi="Calibri"/>
                <w:sz w:val="22"/>
              </w:rPr>
              <w:t>Long-term binding commitments from hyperscalers for memory imply sustained, multi-year AI infrastructure deployment — a strong positive for AMD’s Data Center AI revenue visibility through 2027–2030.</w:t>
            </w:r>
          </w:p>
        </w:tc>
        <w:tc>
          <w:tcPr>
            <w:tcW w:type="dxa" w:w="2160"/>
          </w:tcPr>
          <w:p>
            <w:r>
              <w:rPr>
                <w:rFonts w:ascii="Calibri" w:hAnsi="Calibri"/>
                <w:b/>
                <w:color w:val="30A46C"/>
                <w:sz w:val="22"/>
              </w:rPr>
              <w:t>POSITIVE</w:t>
            </w:r>
          </w:p>
        </w:tc>
      </w:tr>
    </w:tbl>
    <w:p>
      <w:pPr>
        <w:pStyle w:val="Heading2"/>
      </w:pPr>
      <w:r>
        <w:rPr>
          <w:rFonts w:ascii="Calibri" w:hAnsi="Calibri"/>
          <w:b/>
          <w:color w:val="3B4259"/>
          <w:sz w:val="28"/>
        </w:rPr>
        <w:t>Arista Networks — “A New Era of Rack-Scale AI Fabrics” Webinar (June 25, 2026)</w:t>
      </w:r>
    </w:p>
    <w:p>
      <w:r>
        <w:rPr>
          <w:rFonts w:ascii="Calibri" w:hAnsi="Calibri"/>
          <w:b/>
          <w:color w:val="525866"/>
          <w:sz w:val="22"/>
        </w:rPr>
        <w:t xml:space="preserve">Reporting Period Discussed: </w:t>
      </w:r>
      <w:r>
        <w:rPr>
          <w:rFonts w:ascii="Calibri" w:hAnsi="Calibri"/>
          <w:color w:val="525866"/>
          <w:sz w:val="22"/>
        </w:rPr>
        <w:t>Current and forward AI infrastructure deployment trends; new product introductions for H2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Arista Commentary</w:t>
            </w:r>
          </w:p>
        </w:tc>
        <w:tc>
          <w:tcPr>
            <w:tcW w:type="dxa" w:w="2160"/>
            <w:shd w:val="clear" w:color="auto" w:fill="3B4259"/>
          </w:tcPr>
          <w:p>
            <w:r>
              <w:rPr>
                <w:rFonts w:ascii="Calibri" w:hAnsi="Calibri"/>
                <w:b/>
                <w:color w:val="FFFFFF"/>
                <w:sz w:val="22"/>
              </w:rPr>
              <w:t>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 Infrastructure Scaling</w:t>
            </w:r>
          </w:p>
        </w:tc>
        <w:tc>
          <w:tcPr>
            <w:tcW w:type="dxa" w:w="2160"/>
          </w:tcPr>
          <w:p>
            <w:r>
              <w:rPr>
                <w:rFonts w:ascii="Calibri" w:hAnsi="Calibri"/>
                <w:sz w:val="22"/>
              </w:rPr>
              <w:t>"AI scales from thousands to hundreds of thousands of CPUs." Traditional architectures are "reaching their limits," driving "a shift toward tightly integrated rack-scale systems where compute and networking operate as one." AI clusters are "getting larger, distributed, and more complex."</w:t>
            </w:r>
          </w:p>
        </w:tc>
        <w:tc>
          <w:tcPr>
            <w:tcW w:type="dxa" w:w="2160"/>
          </w:tcPr>
          <w:p>
            <w:r>
              <w:rPr>
                <w:rFonts w:ascii="Calibri" w:hAnsi="Calibri"/>
                <w:sz w:val="22"/>
              </w:rPr>
              <w:t>Validates AMD’s Helios rack-scale strategy and the structural shift toward integrated compute+networking systems. Larger cluster sizes directly increase demand for AMD’s XPUs.</w:t>
            </w:r>
          </w:p>
        </w:tc>
        <w:tc>
          <w:tcPr>
            <w:tcW w:type="dxa" w:w="2160"/>
          </w:tcPr>
          <w:p>
            <w:r>
              <w:rPr>
                <w:rFonts w:ascii="Calibri" w:hAnsi="Calibri"/>
                <w:b/>
                <w:color w:val="30A46C"/>
                <w:sz w:val="22"/>
              </w:rPr>
              <w:t>POSITIVE</w:t>
            </w:r>
          </w:p>
        </w:tc>
      </w:tr>
      <w:tr>
        <w:tc>
          <w:tcPr>
            <w:tcW w:type="dxa" w:w="2160"/>
          </w:tcPr>
          <w:p>
            <w:r>
              <w:rPr>
                <w:rFonts w:ascii="Calibri" w:hAnsi="Calibri"/>
                <w:sz w:val="22"/>
              </w:rPr>
              <w:t>AMD’s Role in AI Networking Standards</w:t>
            </w:r>
          </w:p>
        </w:tc>
        <w:tc>
          <w:tcPr>
            <w:tcW w:type="dxa" w:w="2160"/>
          </w:tcPr>
          <w:p>
            <w:r>
              <w:rPr>
                <w:rFonts w:ascii="Calibri" w:hAnsi="Calibri"/>
                <w:sz w:val="22"/>
              </w:rPr>
              <w:t>"MRC (Multi-path Reliable Connection) was developed in collaboration with industry leaders like Arista and OpenAI, along with AMD, Broadcom, Intel, Microsoft and Nvidia." AMD is a co-developer of next-generation AI networking protocols.</w:t>
            </w:r>
          </w:p>
        </w:tc>
        <w:tc>
          <w:tcPr>
            <w:tcW w:type="dxa" w:w="2160"/>
          </w:tcPr>
          <w:p>
            <w:r>
              <w:rPr>
                <w:rFonts w:ascii="Calibri" w:hAnsi="Calibri"/>
                <w:sz w:val="22"/>
              </w:rPr>
              <w:t>AMD’s direct involvement in MRC protocol development positions it as a foundational player in next-generation AI infrastructure — not just a chip supplier but an ecosystem architect.</w:t>
            </w:r>
          </w:p>
        </w:tc>
        <w:tc>
          <w:tcPr>
            <w:tcW w:type="dxa" w:w="2160"/>
          </w:tcPr>
          <w:p>
            <w:r>
              <w:rPr>
                <w:rFonts w:ascii="Calibri" w:hAnsi="Calibri"/>
                <w:b/>
                <w:color w:val="30A46C"/>
                <w:sz w:val="22"/>
              </w:rPr>
              <w:t>POSITIVE</w:t>
            </w:r>
          </w:p>
        </w:tc>
      </w:tr>
      <w:tr>
        <w:tc>
          <w:tcPr>
            <w:tcW w:type="dxa" w:w="2160"/>
          </w:tcPr>
          <w:p>
            <w:r>
              <w:rPr>
                <w:rFonts w:ascii="Calibri" w:hAnsi="Calibri"/>
                <w:sz w:val="22"/>
              </w:rPr>
              <w:t>Power Density &amp; Rack-Scale Trends</w:t>
            </w:r>
          </w:p>
        </w:tc>
        <w:tc>
          <w:tcPr>
            <w:tcW w:type="dxa" w:w="2160"/>
          </w:tcPr>
          <w:p>
            <w:r>
              <w:rPr>
                <w:rFonts w:ascii="Calibri" w:hAnsi="Calibri"/>
                <w:sz w:val="22"/>
              </w:rPr>
              <w:t>Industry moving to "100 kilowatt plus racks" with liquid cooling enabling high density. However, network power can consume "8 to 10% of the overall power budget within the DC, thereby limiting the power that can be allocated to the XPU resources."</w:t>
            </w:r>
          </w:p>
        </w:tc>
        <w:tc>
          <w:tcPr>
            <w:tcW w:type="dxa" w:w="2160"/>
          </w:tcPr>
          <w:p>
            <w:r>
              <w:rPr>
                <w:rFonts w:ascii="Calibri" w:hAnsi="Calibri"/>
                <w:sz w:val="22"/>
              </w:rPr>
              <w:t>Higher rack power density enables more AMD XPUs per rack (positive for volume); however, network power competition for the power budget means AMD’s XPU power efficiency will be increasingly scrutinized by customers.</w:t>
            </w:r>
          </w:p>
        </w:tc>
        <w:tc>
          <w:tcPr>
            <w:tcW w:type="dxa" w:w="2160"/>
          </w:tcPr>
          <w:p>
            <w:r>
              <w:rPr>
                <w:rFonts w:ascii="Calibri" w:hAnsi="Calibri"/>
                <w:b/>
                <w:color w:val="002FA7"/>
                <w:sz w:val="22"/>
              </w:rPr>
              <w:t>MIXED</w:t>
            </w:r>
          </w:p>
        </w:tc>
      </w:tr>
    </w:tbl>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AMD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TSMC</w:t>
            </w:r>
          </w:p>
        </w:tc>
        <w:tc>
          <w:tcPr>
            <w:tcW w:type="dxa" w:w="2160"/>
          </w:tcPr>
          <w:p>
            <w:r>
              <w:rPr>
                <w:rFonts w:ascii="Calibri" w:hAnsi="Calibri"/>
                <w:sz w:val="22"/>
              </w:rPr>
              <w:t>Jul 16</w:t>
            </w:r>
          </w:p>
        </w:tc>
        <w:tc>
          <w:tcPr>
            <w:tcW w:type="dxa" w:w="2160"/>
          </w:tcPr>
          <w:p>
            <w:r>
              <w:rPr>
                <w:rFonts w:ascii="Calibri" w:hAnsi="Calibri"/>
                <w:sz w:val="22"/>
              </w:rPr>
              <w:t>AI demand "stronger and stronger"; CPU resurgence in data centers; 2nm ramp on track; packaging capacity tight</w:t>
            </w:r>
          </w:p>
        </w:tc>
        <w:tc>
          <w:tcPr>
            <w:tcW w:type="dxa" w:w="2160"/>
          </w:tcPr>
          <w:p>
            <w:r>
              <w:rPr>
                <w:rFonts w:ascii="Calibri" w:hAnsi="Calibri"/>
                <w:b/>
                <w:color w:val="30A46C"/>
                <w:sz w:val="22"/>
              </w:rPr>
              <w:t>Mostly Positive</w:t>
            </w:r>
          </w:p>
        </w:tc>
      </w:tr>
      <w:tr>
        <w:tc>
          <w:tcPr>
            <w:tcW w:type="dxa" w:w="2160"/>
          </w:tcPr>
          <w:p>
            <w:r>
              <w:rPr>
                <w:rFonts w:ascii="Calibri" w:hAnsi="Calibri"/>
                <w:sz w:val="22"/>
              </w:rPr>
              <w:t>Intel</w:t>
            </w:r>
          </w:p>
        </w:tc>
        <w:tc>
          <w:tcPr>
            <w:tcW w:type="dxa" w:w="2160"/>
          </w:tcPr>
          <w:p>
            <w:r>
              <w:rPr>
                <w:rFonts w:ascii="Calibri" w:hAnsi="Calibri"/>
                <w:sz w:val="22"/>
              </w:rPr>
              <w:t>Jul 23</w:t>
            </w:r>
          </w:p>
        </w:tc>
        <w:tc>
          <w:tcPr>
            <w:tcW w:type="dxa" w:w="2160"/>
          </w:tcPr>
          <w:p>
            <w:r>
              <w:rPr>
                <w:rFonts w:ascii="Calibri" w:hAnsi="Calibri"/>
                <w:sz w:val="22"/>
              </w:rPr>
              <w:t>AI spending "strong and sustainable"; server CPU industry double-digit unit growth through 2028; but Xeon 6 / Granite Rapids competitive pressure is real</w:t>
            </w:r>
          </w:p>
        </w:tc>
        <w:tc>
          <w:tcPr>
            <w:tcW w:type="dxa" w:w="2160"/>
          </w:tcPr>
          <w:p>
            <w:r>
              <w:rPr>
                <w:rFonts w:ascii="Calibri" w:hAnsi="Calibri"/>
                <w:b/>
                <w:color w:val="002FA7"/>
                <w:sz w:val="22"/>
              </w:rPr>
              <w:t>Mixed</w:t>
            </w:r>
          </w:p>
        </w:tc>
      </w:tr>
      <w:tr>
        <w:tc>
          <w:tcPr>
            <w:tcW w:type="dxa" w:w="2160"/>
          </w:tcPr>
          <w:p>
            <w:r>
              <w:rPr>
                <w:rFonts w:ascii="Calibri" w:hAnsi="Calibri"/>
                <w:sz w:val="22"/>
              </w:rPr>
              <w:t>Micron</w:t>
            </w:r>
          </w:p>
        </w:tc>
        <w:tc>
          <w:tcPr>
            <w:tcW w:type="dxa" w:w="2160"/>
          </w:tcPr>
          <w:p>
            <w:r>
              <w:rPr>
                <w:rFonts w:ascii="Calibri" w:hAnsi="Calibri"/>
                <w:sz w:val="22"/>
              </w:rPr>
              <w:t>Jun 24</w:t>
            </w:r>
          </w:p>
        </w:tc>
        <w:tc>
          <w:tcPr>
            <w:tcW w:type="dxa" w:w="2160"/>
          </w:tcPr>
          <w:p>
            <w:r>
              <w:rPr>
                <w:rFonts w:ascii="Calibri" w:hAnsi="Calibri"/>
                <w:sz w:val="22"/>
              </w:rPr>
              <w:t>Server unit growth raised to high-teens; agentic AI driving CPU rack demand; HBM4 ramp 2x faster than prior gen; memory supply tight but improving</w:t>
            </w:r>
          </w:p>
        </w:tc>
        <w:tc>
          <w:tcPr>
            <w:tcW w:type="dxa" w:w="2160"/>
          </w:tcPr>
          <w:p>
            <w:r>
              <w:rPr>
                <w:rFonts w:ascii="Calibri" w:hAnsi="Calibri"/>
                <w:b/>
                <w:color w:val="30A46C"/>
                <w:sz w:val="22"/>
              </w:rPr>
              <w:t>Mostly Positive</w:t>
            </w:r>
          </w:p>
        </w:tc>
      </w:tr>
      <w:tr>
        <w:tc>
          <w:tcPr>
            <w:tcW w:type="dxa" w:w="2160"/>
          </w:tcPr>
          <w:p>
            <w:r>
              <w:rPr>
                <w:rFonts w:ascii="Calibri" w:hAnsi="Calibri"/>
                <w:sz w:val="22"/>
              </w:rPr>
              <w:t>Arista Networks</w:t>
            </w:r>
          </w:p>
        </w:tc>
        <w:tc>
          <w:tcPr>
            <w:tcW w:type="dxa" w:w="2160"/>
          </w:tcPr>
          <w:p>
            <w:r>
              <w:rPr>
                <w:rFonts w:ascii="Calibri" w:hAnsi="Calibri"/>
                <w:sz w:val="22"/>
              </w:rPr>
              <w:t>Jun 25</w:t>
            </w:r>
          </w:p>
        </w:tc>
        <w:tc>
          <w:tcPr>
            <w:tcW w:type="dxa" w:w="2160"/>
          </w:tcPr>
          <w:p>
            <w:r>
              <w:rPr>
                <w:rFonts w:ascii="Calibri" w:hAnsi="Calibri"/>
                <w:sz w:val="22"/>
              </w:rPr>
              <w:t>Rack-scale AI shift validates Helios strategy; AMD co-developing MRC networking protocol; power density trends favor AMD XPU volume but raise efficiency scrutiny</w:t>
            </w:r>
          </w:p>
        </w:tc>
        <w:tc>
          <w:tcPr>
            <w:tcW w:type="dxa" w:w="2160"/>
          </w:tcPr>
          <w:p>
            <w:r>
              <w:rPr>
                <w:rFonts w:ascii="Calibri" w:hAnsi="Calibri"/>
                <w:b/>
                <w:color w:val="30A46C"/>
                <w:sz w:val="22"/>
              </w:rPr>
              <w:t>Mostly Positive</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print are 10b5-1 planned sales — no discretionary open-market selling and zero open-market buying; the pattern is consistent with pre-scheduled diversification and does not signal insider concern about the upcoming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Papermaster Mark D</w:t>
            </w:r>
          </w:p>
        </w:tc>
        <w:tc>
          <w:tcPr>
            <w:tcW w:type="dxa" w:w="1234"/>
          </w:tcPr>
          <w:p>
            <w:r>
              <w:rPr>
                <w:rFonts w:ascii="Calibri" w:hAnsi="Calibri"/>
                <w:sz w:val="22"/>
              </w:rPr>
              <w:t>CTO &amp; EVP</w:t>
            </w:r>
          </w:p>
        </w:tc>
        <w:tc>
          <w:tcPr>
            <w:tcW w:type="dxa" w:w="1234"/>
          </w:tcPr>
          <w:p>
            <w:r>
              <w:rPr>
                <w:rFonts w:ascii="Calibri" w:hAnsi="Calibri"/>
                <w:sz w:val="22"/>
              </w:rPr>
              <w:t>10b5-1 Planned Sale</w:t>
            </w:r>
          </w:p>
        </w:tc>
        <w:tc>
          <w:tcPr>
            <w:tcW w:type="dxa" w:w="1234"/>
          </w:tcPr>
          <w:p>
            <w:r>
              <w:rPr>
                <w:rFonts w:ascii="Calibri" w:hAnsi="Calibri"/>
                <w:sz w:val="22"/>
              </w:rPr>
              <w:t>6,000</w:t>
            </w:r>
          </w:p>
        </w:tc>
        <w:tc>
          <w:tcPr>
            <w:tcW w:type="dxa" w:w="1234"/>
          </w:tcPr>
          <w:p>
            <w:r>
              <w:rPr>
                <w:rFonts w:ascii="Calibri" w:hAnsi="Calibri"/>
                <w:sz w:val="22"/>
              </w:rPr>
              <w:t>~$3.2M (est. at ~$530)</w:t>
            </w:r>
          </w:p>
        </w:tc>
        <w:tc>
          <w:tcPr>
            <w:tcW w:type="dxa" w:w="1234"/>
          </w:tcPr>
          <w:p>
            <w:r>
              <w:rPr>
                <w:rFonts w:ascii="Calibri" w:hAnsi="Calibri"/>
                <w:sz w:val="22"/>
              </w:rPr>
              <w:t>Jul 15, 2026</w:t>
            </w:r>
          </w:p>
        </w:tc>
        <w:tc>
          <w:tcPr>
            <w:tcW w:type="dxa" w:w="1234"/>
          </w:tcPr>
          <w:p>
            <w:r>
              <w:rPr>
                <w:rFonts w:ascii="Calibri" w:hAnsi="Calibri"/>
                <w:sz w:val="22"/>
              </w:rPr>
              <w:t>Pre-scheduled; routine monthly cadence; 10b5-1 plan</w:t>
            </w:r>
          </w:p>
        </w:tc>
      </w:tr>
      <w:tr>
        <w:tc>
          <w:tcPr>
            <w:tcW w:type="dxa" w:w="1234"/>
          </w:tcPr>
          <w:p>
            <w:r>
              <w:rPr>
                <w:rFonts w:ascii="Calibri" w:hAnsi="Calibri"/>
                <w:sz w:val="22"/>
              </w:rPr>
              <w:t>Papermaster Mark D</w:t>
            </w:r>
          </w:p>
        </w:tc>
        <w:tc>
          <w:tcPr>
            <w:tcW w:type="dxa" w:w="1234"/>
          </w:tcPr>
          <w:p>
            <w:r>
              <w:rPr>
                <w:rFonts w:ascii="Calibri" w:hAnsi="Calibri"/>
                <w:sz w:val="22"/>
              </w:rPr>
              <w:t>CTO &amp; EVP</w:t>
            </w:r>
          </w:p>
        </w:tc>
        <w:tc>
          <w:tcPr>
            <w:tcW w:type="dxa" w:w="1234"/>
          </w:tcPr>
          <w:p>
            <w:r>
              <w:rPr>
                <w:rFonts w:ascii="Calibri" w:hAnsi="Calibri"/>
                <w:sz w:val="22"/>
              </w:rPr>
              <w:t>10b5-1 Planned Sale</w:t>
            </w:r>
          </w:p>
        </w:tc>
        <w:tc>
          <w:tcPr>
            <w:tcW w:type="dxa" w:w="1234"/>
          </w:tcPr>
          <w:p>
            <w:r>
              <w:rPr>
                <w:rFonts w:ascii="Calibri" w:hAnsi="Calibri"/>
                <w:sz w:val="22"/>
              </w:rPr>
              <w:t>6,000</w:t>
            </w:r>
          </w:p>
        </w:tc>
        <w:tc>
          <w:tcPr>
            <w:tcW w:type="dxa" w:w="1234"/>
          </w:tcPr>
          <w:p>
            <w:r>
              <w:rPr>
                <w:rFonts w:ascii="Calibri" w:hAnsi="Calibri"/>
                <w:sz w:val="22"/>
              </w:rPr>
              <w:t>~$3.2M (est. at ~$530)</w:t>
            </w:r>
          </w:p>
        </w:tc>
        <w:tc>
          <w:tcPr>
            <w:tcW w:type="dxa" w:w="1234"/>
          </w:tcPr>
          <w:p>
            <w:r>
              <w:rPr>
                <w:rFonts w:ascii="Calibri" w:hAnsi="Calibri"/>
                <w:sz w:val="22"/>
              </w:rPr>
              <w:t>Jun 15, 2026</w:t>
            </w:r>
          </w:p>
        </w:tc>
        <w:tc>
          <w:tcPr>
            <w:tcW w:type="dxa" w:w="1234"/>
          </w:tcPr>
          <w:p>
            <w:r>
              <w:rPr>
                <w:rFonts w:ascii="Calibri" w:hAnsi="Calibri"/>
                <w:sz w:val="22"/>
              </w:rPr>
              <w:t>Pre-scheduled; routine monthly cadence; 10b5-1 plan</w:t>
            </w:r>
          </w:p>
        </w:tc>
      </w:tr>
      <w:tr>
        <w:tc>
          <w:tcPr>
            <w:tcW w:type="dxa" w:w="1234"/>
          </w:tcPr>
          <w:p>
            <w:r>
              <w:rPr>
                <w:rFonts w:ascii="Calibri" w:hAnsi="Calibri"/>
                <w:sz w:val="22"/>
              </w:rPr>
              <w:t>Su Lisa T</w:t>
            </w:r>
          </w:p>
        </w:tc>
        <w:tc>
          <w:tcPr>
            <w:tcW w:type="dxa" w:w="1234"/>
          </w:tcPr>
          <w:p>
            <w:r>
              <w:rPr>
                <w:rFonts w:ascii="Calibri" w:hAnsi="Calibri"/>
                <w:sz w:val="22"/>
              </w:rPr>
              <w:t>Chair, President &amp; CEO</w:t>
            </w:r>
          </w:p>
        </w:tc>
        <w:tc>
          <w:tcPr>
            <w:tcW w:type="dxa" w:w="1234"/>
          </w:tcPr>
          <w:p>
            <w:r>
              <w:rPr>
                <w:rFonts w:ascii="Calibri" w:hAnsi="Calibri"/>
                <w:sz w:val="22"/>
              </w:rPr>
              <w:t>10b5-1 Planned Sale</w:t>
            </w:r>
          </w:p>
        </w:tc>
        <w:tc>
          <w:tcPr>
            <w:tcW w:type="dxa" w:w="1234"/>
          </w:tcPr>
          <w:p>
            <w:r>
              <w:rPr>
                <w:rFonts w:ascii="Calibri" w:hAnsi="Calibri"/>
                <w:sz w:val="22"/>
              </w:rPr>
              <w:t>125,000</w:t>
            </w:r>
          </w:p>
        </w:tc>
        <w:tc>
          <w:tcPr>
            <w:tcW w:type="dxa" w:w="1234"/>
          </w:tcPr>
          <w:p>
            <w:r>
              <w:rPr>
                <w:rFonts w:ascii="Calibri" w:hAnsi="Calibri"/>
                <w:sz w:val="22"/>
              </w:rPr>
              <w:t>~$64M (est. at ~$511)</w:t>
            </w:r>
          </w:p>
        </w:tc>
        <w:tc>
          <w:tcPr>
            <w:tcW w:type="dxa" w:w="1234"/>
          </w:tcPr>
          <w:p>
            <w:r>
              <w:rPr>
                <w:rFonts w:ascii="Calibri" w:hAnsi="Calibri"/>
                <w:sz w:val="22"/>
              </w:rPr>
              <w:t>Jun 10, 2026</w:t>
            </w:r>
          </w:p>
        </w:tc>
        <w:tc>
          <w:tcPr>
            <w:tcW w:type="dxa" w:w="1234"/>
          </w:tcPr>
          <w:p>
            <w:r>
              <w:rPr>
                <w:rFonts w:ascii="Calibri" w:hAnsi="Calibri"/>
                <w:sz w:val="22"/>
              </w:rPr>
              <w:t>Pre-scheduled; large in dollar terms but consistent with prior cadence; 10b5-1 plan</w:t>
            </w:r>
          </w:p>
        </w:tc>
      </w:tr>
      <w:tr>
        <w:tc>
          <w:tcPr>
            <w:tcW w:type="dxa" w:w="1234"/>
          </w:tcPr>
          <w:p>
            <w:r>
              <w:rPr>
                <w:rFonts w:ascii="Calibri" w:hAnsi="Calibri"/>
                <w:sz w:val="22"/>
              </w:rPr>
              <w:t>Denzel Nora</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1,821</w:t>
            </w:r>
          </w:p>
        </w:tc>
        <w:tc>
          <w:tcPr>
            <w:tcW w:type="dxa" w:w="1234"/>
          </w:tcPr>
          <w:p>
            <w:r>
              <w:rPr>
                <w:rFonts w:ascii="Calibri" w:hAnsi="Calibri"/>
                <w:sz w:val="22"/>
              </w:rPr>
              <w:t>~$0.9M (est. at ~$516)</w:t>
            </w:r>
          </w:p>
        </w:tc>
        <w:tc>
          <w:tcPr>
            <w:tcW w:type="dxa" w:w="1234"/>
          </w:tcPr>
          <w:p>
            <w:r>
              <w:rPr>
                <w:rFonts w:ascii="Calibri" w:hAnsi="Calibri"/>
                <w:sz w:val="22"/>
              </w:rPr>
              <w:t>May 29, 2026</w:t>
            </w:r>
          </w:p>
        </w:tc>
        <w:tc>
          <w:tcPr>
            <w:tcW w:type="dxa" w:w="1234"/>
          </w:tcPr>
          <w:p>
            <w:r>
              <w:rPr>
                <w:rFonts w:ascii="Calibri" w:hAnsi="Calibri"/>
                <w:sz w:val="22"/>
              </w:rPr>
              <w:t>Discretionary sale; small in size; no 10b5-1 plan flagged; director-level, not operational management</w:t>
            </w:r>
          </w:p>
        </w:tc>
      </w:tr>
      <w:tr>
        <w:tc>
          <w:tcPr>
            <w:tcW w:type="dxa" w:w="1234"/>
          </w:tcPr>
          <w:p>
            <w:r>
              <w:rPr>
                <w:rFonts w:ascii="Calibri" w:hAnsi="Calibri"/>
                <w:sz w:val="22"/>
              </w:rPr>
              <w:t>Su Lisa T</w:t>
            </w:r>
          </w:p>
        </w:tc>
        <w:tc>
          <w:tcPr>
            <w:tcW w:type="dxa" w:w="1234"/>
          </w:tcPr>
          <w:p>
            <w:r>
              <w:rPr>
                <w:rFonts w:ascii="Calibri" w:hAnsi="Calibri"/>
                <w:sz w:val="22"/>
              </w:rPr>
              <w:t>Chair, President &amp; CEO</w:t>
            </w:r>
          </w:p>
        </w:tc>
        <w:tc>
          <w:tcPr>
            <w:tcW w:type="dxa" w:w="1234"/>
          </w:tcPr>
          <w:p>
            <w:r>
              <w:rPr>
                <w:rFonts w:ascii="Calibri" w:hAnsi="Calibri"/>
                <w:sz w:val="22"/>
              </w:rPr>
              <w:t>10b5-1 Planned Sale</w:t>
            </w:r>
          </w:p>
        </w:tc>
        <w:tc>
          <w:tcPr>
            <w:tcW w:type="dxa" w:w="1234"/>
          </w:tcPr>
          <w:p>
            <w:r>
              <w:rPr>
                <w:rFonts w:ascii="Calibri" w:hAnsi="Calibri"/>
                <w:sz w:val="22"/>
              </w:rPr>
              <w:t>125,000</w:t>
            </w:r>
          </w:p>
        </w:tc>
        <w:tc>
          <w:tcPr>
            <w:tcW w:type="dxa" w:w="1234"/>
          </w:tcPr>
          <w:p>
            <w:r>
              <w:rPr>
                <w:rFonts w:ascii="Calibri" w:hAnsi="Calibri"/>
                <w:sz w:val="22"/>
              </w:rPr>
              <w:t>~$53M (est. at ~$424)</w:t>
            </w:r>
          </w:p>
        </w:tc>
        <w:tc>
          <w:tcPr>
            <w:tcW w:type="dxa" w:w="1234"/>
          </w:tcPr>
          <w:p>
            <w:r>
              <w:rPr>
                <w:rFonts w:ascii="Calibri" w:hAnsi="Calibri"/>
                <w:sz w:val="22"/>
              </w:rPr>
              <w:t>May 13, 2026</w:t>
            </w:r>
          </w:p>
        </w:tc>
        <w:tc>
          <w:tcPr>
            <w:tcW w:type="dxa" w:w="1234"/>
          </w:tcPr>
          <w:p>
            <w:r>
              <w:rPr>
                <w:rFonts w:ascii="Calibri" w:hAnsi="Calibri"/>
                <w:sz w:val="22"/>
              </w:rPr>
              <w:t>Pre-scheduled; 10b5-1 plan; sold shortly after Q1 earnings beat</w:t>
            </w:r>
          </w:p>
        </w:tc>
      </w:tr>
      <w:tr>
        <w:tc>
          <w:tcPr>
            <w:tcW w:type="dxa" w:w="1234"/>
          </w:tcPr>
          <w:p>
            <w:r>
              <w:rPr>
                <w:rFonts w:ascii="Calibri" w:hAnsi="Calibri"/>
                <w:sz w:val="22"/>
              </w:rPr>
              <w:t>Grasby Paul Darren</w:t>
            </w:r>
          </w:p>
        </w:tc>
        <w:tc>
          <w:tcPr>
            <w:tcW w:type="dxa" w:w="1234"/>
          </w:tcPr>
          <w:p>
            <w:r>
              <w:rPr>
                <w:rFonts w:ascii="Calibri" w:hAnsi="Calibri"/>
                <w:sz w:val="22"/>
              </w:rPr>
              <w:t>EVP &amp; CSO</w:t>
            </w:r>
          </w:p>
        </w:tc>
        <w:tc>
          <w:tcPr>
            <w:tcW w:type="dxa" w:w="1234"/>
          </w:tcPr>
          <w:p>
            <w:r>
              <w:rPr>
                <w:rFonts w:ascii="Calibri" w:hAnsi="Calibri"/>
                <w:sz w:val="22"/>
              </w:rPr>
              <w:t>Open Market Sale</w:t>
            </w:r>
          </w:p>
        </w:tc>
        <w:tc>
          <w:tcPr>
            <w:tcW w:type="dxa" w:w="1234"/>
          </w:tcPr>
          <w:p>
            <w:r>
              <w:rPr>
                <w:rFonts w:ascii="Calibri" w:hAnsi="Calibri"/>
                <w:sz w:val="22"/>
              </w:rPr>
              <w:t>24,376</w:t>
            </w:r>
          </w:p>
        </w:tc>
        <w:tc>
          <w:tcPr>
            <w:tcW w:type="dxa" w:w="1234"/>
          </w:tcPr>
          <w:p>
            <w:r>
              <w:rPr>
                <w:rFonts w:ascii="Calibri" w:hAnsi="Calibri"/>
                <w:sz w:val="22"/>
              </w:rPr>
              <w:t>~$11M (est. at ~$455)</w:t>
            </w:r>
          </w:p>
        </w:tc>
        <w:tc>
          <w:tcPr>
            <w:tcW w:type="dxa" w:w="1234"/>
          </w:tcPr>
          <w:p>
            <w:r>
              <w:rPr>
                <w:rFonts w:ascii="Calibri" w:hAnsi="Calibri"/>
                <w:sz w:val="22"/>
              </w:rPr>
              <w:t>May 8, 2026</w:t>
            </w:r>
          </w:p>
        </w:tc>
        <w:tc>
          <w:tcPr>
            <w:tcW w:type="dxa" w:w="1234"/>
          </w:tcPr>
          <w:p>
            <w:r>
              <w:rPr>
                <w:rFonts w:ascii="Calibri" w:hAnsi="Calibri"/>
                <w:sz w:val="22"/>
              </w:rPr>
              <w:t>Discretionary sale; no 10b5-1 plan flagged; sold 3 days post Q1 earnings; notable in size but CSO role is less operationally central</w:t>
            </w:r>
          </w:p>
        </w:tc>
      </w:tr>
    </w:tbl>
    <w:p>
      <w:r>
        <w:rPr>
          <w:rFonts w:ascii="Calibri" w:hAnsi="Calibri"/>
          <w:color w:val="525866"/>
          <w:sz w:val="22"/>
        </w:rPr>
        <w:t>Source: SEC Form 4 Filings (Insider Transaction Data). Transaction values are estimated based on approximate share prices at transaction dates. The two discretionary sales (Denzel Nora on May 29 and Grasby Paul Darren on May 8) are small in aggregate and from non-CEO/CFO insiders; they do not constitute a meaningful negative signal. CEO Lisa Su’s two 125,000-share sales are both under 10b5-1 plans and are consistent with her historical cadence. No open-market purchases were recorded in the period, which is neutral — not unusual given the stock’s strong appreciation since the Q1 print.</w:t>
      </w:r>
    </w:p>
    <w:p>
      <w:r>
        <w:rPr>
          <w:rFonts w:ascii="Calibri" w:hAnsi="Calibri"/>
          <w:b/>
          <w:color w:val="525866"/>
          <w:sz w:val="22"/>
        </w:rPr>
        <w:t xml:space="preserve">Overall Assessment: </w:t>
      </w:r>
      <w:r>
        <w:rPr>
          <w:rFonts w:ascii="Calibri" w:hAnsi="Calibri"/>
          <w:color w:val="525866"/>
          <w:sz w:val="22"/>
        </w:rPr>
        <w:t>Insider activity is benign. The predominance of 10b5-1 planned sales, the absence of any discretionary cluster selling by operational management, and the lack of any Form 144 pre-sale notices suggest insiders are not positioning defensively ahead of the Q2 print.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