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me-earnings-predictions--2026-08-04"/>
    <w:p>
      <w:pPr>
        <w:pStyle w:val="Heading1"/>
      </w:pPr>
      <w:r>
        <w:t xml:space="preserve">AME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~$2.05 vs. cons $1.99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~$1.96B vs. cons $1.97B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order growth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~+14% vs. implied street expectation ~+9-10%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8.05</m:t>
              </m:r>
              <m:r>
                <m:rPr>
                  <m:sty m:val="p"/>
                </m:rPr>
                <m:t>−</m:t>
              </m:r>
            </m:oMath>
            <w:r>
              <w:t xml:space="preserve">8.25 (mid ~</w:t>
            </w:r>
            <m:oMath>
              <m:r>
                <m:t>8.15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8.08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growth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~9% vs. cons ~8.3% high-single-digit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Indicor deal timeline/pro forma leverage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~2.3x leverage at close, H2 2026 close vs. prior guide 2.3x, H2 2026 (Q3-Q4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+0.8% (FADE)</w:t>
            </w:r>
          </w:p>
        </w:tc>
        <w:tc>
          <w:tcPr/>
          <w:p>
            <w:pPr>
              <w:pStyle w:val="Compact"/>
            </w:pPr>
            <w:r>
              <w:t xml:space="preserve">Consensus is already parked near the top of AME's own Q2 guide (</w:t>
            </w:r>
            <m:oMath>
              <m:r>
                <m:t>1.96</m:t>
              </m:r>
              <m:r>
                <m:rPr>
                  <m:sty m:val="p"/>
                </m:rPr>
                <m:t>−</m:t>
              </m:r>
              <m:r>
                <m:t>2.00</m:t>
              </m:r>
              <m:r>
                <m:t>E</m:t>
              </m:r>
              <m:r>
                <m:t>P</m:t>
              </m:r>
              <m:r>
                <m:t>S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,</m:t>
              </m:r>
              <m:r>
                <m:t>l</m:t>
              </m:r>
              <m:r>
                <m:t>e</m:t>
              </m:r>
              <m:r>
                <m:t>a</m:t>
              </m:r>
              <m:r>
                <m:t>v</m:t>
              </m:r>
              <m:r>
                <m:t>i</m:t>
              </m:r>
              <m:r>
                <m:t>n</m:t>
              </m:r>
              <m:r>
                <m:t>g</m:t>
              </m:r>
              <m:r>
                <m:t>l</m:t>
              </m:r>
              <m:r>
                <m:t>e</m:t>
              </m:r>
              <m:r>
                <m:t>s</m:t>
              </m:r>
              <m:r>
                <m:t>s</m:t>
              </m:r>
              <m:r>
                <m:t>r</m:t>
              </m:r>
              <m:r>
                <m:t>o</m:t>
              </m:r>
              <m:r>
                <m:t>o</m:t>
              </m:r>
              <m:r>
                <m:t>m</m:t>
              </m:r>
              <m:r>
                <m:t>f</m:t>
              </m:r>
              <m:r>
                <m:t>o</m:t>
              </m:r>
              <m:r>
                <m:t>r</m:t>
              </m:r>
              <m:r>
                <m:t>t</m:t>
              </m:r>
              <m:r>
                <m:t>h</m:t>
              </m:r>
              <m:r>
                <m:t>e</m:t>
              </m:r>
              <m:r>
                <m:t>o</m:t>
              </m:r>
              <m:r>
                <m:t>u</m:t>
              </m:r>
              <m:r>
                <m:t>t</m:t>
              </m:r>
              <m:r>
                <m:t>s</m:t>
              </m:r>
              <m:r>
                <m:t>i</m:t>
              </m:r>
              <m:r>
                <m:t>z</m:t>
              </m:r>
              <m:r>
                <m:t>e</m:t>
              </m:r>
              <m:r>
                <m:t>d</m:t>
              </m:r>
              <m:r>
                <m:t>b</m:t>
              </m:r>
              <m:r>
                <m:t>e</m:t>
              </m:r>
              <m:r>
                <m:t>a</m:t>
              </m:r>
              <m:r>
                <m:t>t</m:t>
              </m:r>
              <m:r>
                <m:rPr>
                  <m:sty m:val="p"/>
                </m:rPr>
                <m:t>−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−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e</m:t>
              </m:r>
              <m:r>
                <m:t>m</m:t>
              </m:r>
              <m:r>
                <m:t>a</m:t>
              </m:r>
              <m:r>
                <m:t>r</m:t>
              </m:r>
              <m:r>
                <m:t>g</m:t>
              </m:r>
              <m:r>
                <m:t>i</m:t>
              </m:r>
              <m:r>
                <m:t>n</m:t>
              </m:r>
              <m:r>
                <m:rPr>
                  <m:sty m:val="p"/>
                </m:rPr>
                <m:t>(</m:t>
              </m:r>
              <m:r>
                <m:t> </m:t>
              </m:r>
              <m:r>
                <m:t>3</m:t>
              </m:r>
              <m:r>
                <m:rPr>
                  <m:sty m:val="p"/>
                </m:rPr>
                <m:t>−</m:t>
              </m:r>
              <m:r>
                <m:t>4</m:t>
              </m:r>
            </m:oMath>
            <w:r>
              <w:t xml:space="preserve">5B Indicor deal (still pending regulatory close), which keeps out-period EPS revisions measured even after a headline beat-and-raise.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2026-08-04T00:37:40Z</dcterms:created>
  <dcterms:modified xsi:type="dcterms:W3CDTF">2026-08-04T00:37:40Z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