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f3d9cb6e3dc4cc8254d29b33b32df640bc6213a"/>
    <w:p>
      <w:pPr>
        <w:pStyle w:val="Heading1"/>
      </w:pPr>
      <w:r>
        <w:t xml:space="preserve">AMETEK (NYSE: AME) — 2026 Q2 Earnings Preview</w:t>
      </w:r>
    </w:p>
    <w:p>
      <w:pPr>
        <w:pStyle w:val="BlockText"/>
      </w:pPr>
      <w:r>
        <w:rPr>
          <w:b/>
          <w:bCs/>
        </w:rPr>
        <w:t xml:space="preserve">Calendar note:</w:t>
      </w:r>
      <w:r>
        <w:t xml:space="preserve"> </w:t>
      </w:r>
      <w:r>
        <w:t xml:space="preserve">AMETEK is scheduled to release results</w:t>
      </w:r>
      <w:r>
        <w:t xml:space="preserve"> </w:t>
      </w:r>
      <w:r>
        <w:rPr>
          <w:b/>
          <w:bCs/>
        </w:rPr>
        <w:t xml:space="preserve">before the market opens today, Tuesday, August 4, 2026</w:t>
      </w:r>
      <w:r>
        <w:t xml:space="preserve">, followed by its conference call at</w:t>
      </w:r>
      <w:r>
        <w:t xml:space="preserve"> </w:t>
      </w:r>
      <w:r>
        <w:rPr>
          <w:b/>
          <w:bCs/>
        </w:rPr>
        <w:t xml:space="preserve">8:30 a.m. ET</w:t>
      </w:r>
      <w:r>
        <w:t xml:space="preserve">. The event is therefore today—not tomorrow. (</w:t>
      </w:r>
      <w:hyperlink r:id="rId9">
        <w:r>
          <w:rPr>
            <w:rStyle w:val="Hyperlink"/>
          </w:rPr>
          <w:t xml:space="preserve">ametekinc.gcs-web.com</w:t>
        </w:r>
      </w:hyperlink>
      <w:r>
        <w:t xml:space="preserve">)</w:t>
      </w:r>
    </w:p>
    <w:bookmarkStart w:id="11" w:name="the-setup"/>
    <w:p>
      <w:pPr>
        <w:pStyle w:val="Heading2"/>
      </w:pPr>
      <w:r>
        <w:t xml:space="preserve">The setup</w:t>
      </w:r>
    </w:p>
    <w:p>
      <w:pPr>
        <w:pStyle w:val="FirstParagraph"/>
      </w:pPr>
      <w:r>
        <w:t xml:space="preserve">AMETEK enters the quarter with unusually strong operating momentum but also elevated expectations. First-quarter orders rose 23%, sales increased 11%, adjusted EPS grew 13%, core operating margin expanded 160 basis points, and free-cash-flow conversion was 107%. Management raised its full-year outlook and described demand as broad-based. (</w:t>
      </w:r>
      <w:hyperlink r:id="rId10">
        <w:r>
          <w:rPr>
            <w:rStyle w:val="Hyperlink"/>
          </w:rPr>
          <w:t xml:space="preserve">investors.ametek.com</w:t>
        </w:r>
      </w:hyperlink>
      <w:r>
        <w:t xml:space="preserve">)</w:t>
      </w:r>
    </w:p>
    <w:p>
      <w:pPr>
        <w:pStyle w:val="BodyText"/>
      </w:pPr>
      <w:r>
        <w:t xml:space="preserve">At the same time, AME finished August 3 near</w:t>
      </w:r>
      <w:r>
        <w:t xml:space="preserve"> </w:t>
      </w:r>
      <w:r>
        <w:rPr>
          <w:b/>
          <w:bCs/>
        </w:rPr>
        <w:t xml:space="preserve">$244</w:t>
      </w:r>
      <w:r>
        <w:t xml:space="preserve">, equivalent to roughly</w:t>
      </w:r>
      <w:r>
        <w:t xml:space="preserve"> </w:t>
      </w:r>
      <w:r>
        <w:rPr>
          <w:b/>
          <w:bCs/>
        </w:rPr>
        <w:t xml:space="preserve">30x the midpoint of existing 2026 adjusted-EPS guidance</w:t>
      </w:r>
      <w:r>
        <w:t xml:space="preserve">. That valuation leaves less room for a merely in-line quarter: investors will probably want a clean beat, sustained order momentum and higher guidance. (</w:t>
      </w:r>
      <w:hyperlink r:id="rId10">
        <w:r>
          <w:rPr>
            <w:rStyle w:val="Hyperlink"/>
          </w:rPr>
          <w:t xml:space="preserve">investors.ametek.com</w:t>
        </w:r>
      </w:hyperlink>
      <w:r>
        <w:t xml:space="preserve">)</w:t>
      </w:r>
    </w:p>
    <w:bookmarkEnd w:id="11"/>
    <w:bookmarkStart w:id="13" w:name="headline-expectations"/>
    <w:p>
      <w:pPr>
        <w:pStyle w:val="Heading2"/>
      </w:pPr>
      <w:r>
        <w:t xml:space="preserve">Headline expectations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2026 expectation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2025 actual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Implied growth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</w:t>
            </w:r>
            <w:r>
              <w:t xml:space="preserve"> </w:t>
            </w:r>
            <m:oMath>
              <m:r>
                <m:t>1.95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1.96B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$1.78B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About 10%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$1.99</w:t>
            </w:r>
            <w:r>
              <w:t xml:space="preserve"> </w:t>
            </w:r>
            <w:r>
              <w:t xml:space="preserve">consensus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$1.78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About 12%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Company adjusted-EPS guidance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1.96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2.00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10%–12%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Company GAAP-EPS guidance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1.73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1.77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$1.55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</w:tr>
    </w:tbl>
    <w:p>
      <w:pPr>
        <w:pStyle w:val="BodyText"/>
      </w:pPr>
      <w:r>
        <w:t xml:space="preserve">Consensus is effectively at the</w:t>
      </w:r>
      <w:r>
        <w:t xml:space="preserve"> </w:t>
      </w:r>
      <w:r>
        <w:rPr>
          <w:b/>
          <w:bCs/>
        </w:rPr>
        <w:t xml:space="preserve">upper end of management’s adjusted-EPS range</w:t>
      </w:r>
      <w:r>
        <w:t xml:space="preserve">, while the revenue estimate implies growth somewhat stronger than the company’s “high-single-digit” sales guidance. Consequently, simply reporting $1.99 may not qualify as a meaningful beat. (</w:t>
      </w:r>
      <w:hyperlink r:id="rId12">
        <w:r>
          <w:rPr>
            <w:rStyle w:val="Hyperlink"/>
          </w:rPr>
          <w:t xml:space="preserve">benzinga.com</w:t>
        </w:r>
      </w:hyperlink>
      <w:r>
        <w:t xml:space="preserve">)</w:t>
      </w:r>
    </w:p>
    <w:bookmarkEnd w:id="13"/>
    <w:bookmarkStart w:id="19" w:name="what-matters-most"/>
    <w:p>
      <w:pPr>
        <w:pStyle w:val="Heading2"/>
      </w:pPr>
      <w:r>
        <w:t xml:space="preserve">What matters most</w:t>
      </w:r>
    </w:p>
    <w:bookmarkStart w:id="14" w:name="Xaba9790fa4ce33947145f66e45201baf8382be1"/>
    <w:p>
      <w:pPr>
        <w:pStyle w:val="Heading3"/>
      </w:pPr>
      <w:r>
        <w:t xml:space="preserve">1. Did Q1’s order surge convert into revenue?</w:t>
      </w:r>
    </w:p>
    <w:p>
      <w:pPr>
        <w:pStyle w:val="FirstParagraph"/>
      </w:pPr>
      <w:r>
        <w:t xml:space="preserve">The strongest argument for upside is the first quarter’s 23% order growth and record backlog. The key question is how much of that demand was scheduled for delivery in 2026 and how much remains longer-cycle backlog.</w:t>
      </w:r>
    </w:p>
    <w:p>
      <w:pPr>
        <w:pStyle w:val="BodyText"/>
      </w:pPr>
      <w:r>
        <w:t xml:space="preserve">Investors should focus on:</w:t>
      </w:r>
    </w:p>
    <w:p>
      <w:pPr>
        <w:pStyle w:val="Compact"/>
        <w:numPr>
          <w:ilvl w:val="0"/>
          <w:numId w:val="1001"/>
        </w:numPr>
      </w:pPr>
      <w:r>
        <w:t xml:space="preserve">Total and organic order growth.</w:t>
      </w:r>
    </w:p>
    <w:p>
      <w:pPr>
        <w:pStyle w:val="Compact"/>
        <w:numPr>
          <w:ilvl w:val="0"/>
          <w:numId w:val="1001"/>
        </w:numPr>
      </w:pPr>
      <w:r>
        <w:t xml:space="preserve">Book-to-bill and backlog direction.</w:t>
      </w:r>
    </w:p>
    <w:p>
      <w:pPr>
        <w:pStyle w:val="Compact"/>
        <w:numPr>
          <w:ilvl w:val="0"/>
          <w:numId w:val="1001"/>
        </w:numPr>
      </w:pPr>
      <w:r>
        <w:t xml:space="preserve">Whether management still sees broad strength rather than a handful of large projects.</w:t>
      </w:r>
    </w:p>
    <w:p>
      <w:pPr>
        <w:pStyle w:val="Compact"/>
        <w:numPr>
          <w:ilvl w:val="0"/>
          <w:numId w:val="1001"/>
        </w:numPr>
      </w:pPr>
      <w:r>
        <w:t xml:space="preserve">Conversion of defense, power, nuclear, space and semiconductor orders into second-half sales.</w:t>
      </w:r>
    </w:p>
    <w:p>
      <w:pPr>
        <w:pStyle w:val="Compact"/>
        <w:numPr>
          <w:ilvl w:val="0"/>
          <w:numId w:val="1001"/>
        </w:numPr>
      </w:pPr>
      <w:r>
        <w:t xml:space="preserve">Any customer delays caused by trade, geopolitical or supply-chain uncertainty.</w:t>
      </w:r>
    </w:p>
    <w:p>
      <w:pPr>
        <w:pStyle w:val="FirstParagraph"/>
      </w:pPr>
      <w:r>
        <w:t xml:space="preserve">Orders do not need to repeat Q1’s 23% growth rate. But a sharp deceleration without a convincing explanation would weaken the case for above-plan second-half organic growth.</w:t>
      </w:r>
    </w:p>
    <w:bookmarkEnd w:id="14"/>
    <w:bookmarkStart w:id="15" w:name="X0809aeeafa269dd06994246f4ae4621a72f9274"/>
    <w:p>
      <w:pPr>
        <w:pStyle w:val="Heading3"/>
      </w:pPr>
      <w:r>
        <w:t xml:space="preserve">2. EIG needs to show that its inflection is real</w:t>
      </w:r>
    </w:p>
    <w:p>
      <w:pPr>
        <w:pStyle w:val="FirstParagraph"/>
      </w:pPr>
      <w:r>
        <w:t xml:space="preserve">Electronic Instruments Group was the main area where orders ran well ahead of current revenue in Q1. EIG sales increased 11%, but underlying growth was more modest than in EMG, while management emphasized strong demand across defense, power, process instrumentation and semiconductor applications. EIG core margin reached 31.4%, up 40 basis points. (</w:t>
      </w:r>
      <w:hyperlink r:id="rId10">
        <w:r>
          <w:rPr>
            <w:rStyle w:val="Hyperlink"/>
          </w:rPr>
          <w:t xml:space="preserve">investors.ametek.com</w:t>
        </w:r>
      </w:hyperlink>
      <w:r>
        <w:t xml:space="preserve">)</w:t>
      </w:r>
    </w:p>
    <w:p>
      <w:pPr>
        <w:pStyle w:val="BodyText"/>
      </w:pPr>
      <w:r>
        <w:t xml:space="preserve">A constructive Q2 would include:</w:t>
      </w:r>
    </w:p>
    <w:p>
      <w:pPr>
        <w:pStyle w:val="Compact"/>
        <w:numPr>
          <w:ilvl w:val="0"/>
          <w:numId w:val="1002"/>
        </w:numPr>
      </w:pPr>
      <w:r>
        <w:t xml:space="preserve">Faster organic sales growth as orders begin converting.</w:t>
      </w:r>
    </w:p>
    <w:p>
      <w:pPr>
        <w:pStyle w:val="Compact"/>
        <w:numPr>
          <w:ilvl w:val="0"/>
          <w:numId w:val="1002"/>
        </w:numPr>
      </w:pPr>
      <w:r>
        <w:t xml:space="preserve">Continued strength in process and power markets.</w:t>
      </w:r>
    </w:p>
    <w:p>
      <w:pPr>
        <w:pStyle w:val="Compact"/>
        <w:numPr>
          <w:ilvl w:val="0"/>
          <w:numId w:val="1002"/>
        </w:numPr>
      </w:pPr>
      <w:r>
        <w:t xml:space="preserve">Stable-to-higher core margins despite acquisition mix and growth investments.</w:t>
      </w:r>
    </w:p>
    <w:p>
      <w:pPr>
        <w:pStyle w:val="Compact"/>
        <w:numPr>
          <w:ilvl w:val="0"/>
          <w:numId w:val="1002"/>
        </w:numPr>
      </w:pPr>
      <w:r>
        <w:t xml:space="preserve">Evidence that semiconductor demand is broader than one or two large programs.</w:t>
      </w:r>
    </w:p>
    <w:p>
      <w:pPr>
        <w:pStyle w:val="FirstParagraph"/>
      </w:pPr>
      <w:r>
        <w:t xml:space="preserve">If EIG orders remain strong but revenue conversion is pushed further out, investors may accept it—provided backlog, customer schedules and second-half guidance remain intact.</w:t>
      </w:r>
    </w:p>
    <w:bookmarkEnd w:id="15"/>
    <w:bookmarkStart w:id="17" w:name="Xb2a1b3751fec4f87c26642341359497aee1e8d1"/>
    <w:p>
      <w:pPr>
        <w:pStyle w:val="Heading3"/>
      </w:pPr>
      <w:r>
        <w:t xml:space="preserve">3. Can EMG sustain exceptional profitability?</w:t>
      </w:r>
    </w:p>
    <w:p>
      <w:pPr>
        <w:pStyle w:val="FirstParagraph"/>
      </w:pPr>
      <w:r>
        <w:t xml:space="preserve">Electromechanical Group delivered the standout Q1 performance: sales rose 13%, operating income increased 33%, and reported margin reached 25.7%. On a core basis, management indicated margin expansion of roughly 410 basis points. (</w:t>
      </w:r>
      <w:hyperlink r:id="rId10">
        <w:r>
          <w:rPr>
            <w:rStyle w:val="Hyperlink"/>
          </w:rPr>
          <w:t xml:space="preserve">investors.ametek.com</w:t>
        </w:r>
      </w:hyperlink>
      <w:r>
        <w:t xml:space="preserve">)</w:t>
      </w:r>
    </w:p>
    <w:p>
      <w:pPr>
        <w:pStyle w:val="BodyText"/>
      </w:pPr>
      <w:r>
        <w:t xml:space="preserve">The comparison becomes more demanding as 2026 progresses. Investors should distinguish between:</w:t>
      </w:r>
    </w:p>
    <w:p>
      <w:pPr>
        <w:pStyle w:val="Compact"/>
        <w:numPr>
          <w:ilvl w:val="0"/>
          <w:numId w:val="1003"/>
        </w:numPr>
      </w:pPr>
      <w:r>
        <w:t xml:space="preserve">Sustainable productivity and pricing gains.</w:t>
      </w:r>
    </w:p>
    <w:p>
      <w:pPr>
        <w:pStyle w:val="Compact"/>
        <w:numPr>
          <w:ilvl w:val="0"/>
          <w:numId w:val="1003"/>
        </w:numPr>
      </w:pPr>
      <w:r>
        <w:t xml:space="preserve">Volume leverage that may moderate as comparisons become tougher.</w:t>
      </w:r>
    </w:p>
    <w:p>
      <w:pPr>
        <w:pStyle w:val="Compact"/>
        <w:numPr>
          <w:ilvl w:val="0"/>
          <w:numId w:val="1003"/>
        </w:numPr>
      </w:pPr>
      <w:r>
        <w:t xml:space="preserve">Mix benefits from aerospace, defense, medical and automation.</w:t>
      </w:r>
    </w:p>
    <w:p>
      <w:pPr>
        <w:pStyle w:val="Compact"/>
        <w:numPr>
          <w:ilvl w:val="0"/>
          <w:numId w:val="1003"/>
        </w:numPr>
      </w:pPr>
      <w:r>
        <w:t xml:space="preserve">Any normalization after an unusually strong Q1 margin result.</w:t>
      </w:r>
    </w:p>
    <w:p>
      <w:pPr>
        <w:pStyle w:val="FirstParagraph"/>
      </w:pPr>
      <w:r>
        <w:t xml:space="preserve">AMETEK previously expected approximately</w:t>
      </w:r>
      <w:r>
        <w:t xml:space="preserve"> </w:t>
      </w:r>
      <w:r>
        <w:rPr>
          <w:b/>
          <w:bCs/>
        </w:rPr>
        <w:t xml:space="preserve">35% full-year core incremental margins</w:t>
      </w:r>
      <w:r>
        <w:t xml:space="preserve"> </w:t>
      </w:r>
      <w:r>
        <w:t xml:space="preserve">and about</w:t>
      </w:r>
      <w:r>
        <w:t xml:space="preserve"> </w:t>
      </w:r>
      <w:r>
        <w:rPr>
          <w:b/>
          <w:bCs/>
        </w:rPr>
        <w:t xml:space="preserve">50 basis points of full-year core margin expansion</w:t>
      </w:r>
      <w:r>
        <w:t xml:space="preserve">. Results comfortably above those assumptions would support another earnings-guidance increase. (</w:t>
      </w:r>
      <w:hyperlink r:id="rId16">
        <w:r>
          <w:rPr>
            <w:rStyle w:val="Hyperlink"/>
          </w:rPr>
          <w:t xml:space="preserve">tipranks.com</w:t>
        </w:r>
      </w:hyperlink>
      <w:r>
        <w:t xml:space="preserve">)</w:t>
      </w:r>
    </w:p>
    <w:bookmarkEnd w:id="17"/>
    <w:bookmarkStart w:id="18" w:name="X69659530ebc02eb5892c7956f76f30e586ca7aa"/>
    <w:p>
      <w:pPr>
        <w:pStyle w:val="Heading3"/>
      </w:pPr>
      <w:r>
        <w:t xml:space="preserve">4. Organic growth quality matters more than reported growth</w:t>
      </w:r>
    </w:p>
    <w:p>
      <w:pPr>
        <w:pStyle w:val="FirstParagraph"/>
      </w:pPr>
      <w:r>
        <w:t xml:space="preserve">First-quarter reported sales growth included meaningful acquisition and currency contributions. The report should therefore be evaluated on organic growth by segment and end market, not just the consolidated revenue number.</w:t>
      </w:r>
    </w:p>
    <w:p>
      <w:pPr>
        <w:pStyle w:val="BodyText"/>
      </w:pPr>
      <w:r>
        <w:t xml:space="preserve">The most important end-market reads are: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Aerospace and defense:</w:t>
      </w:r>
      <w:r>
        <w:t xml:space="preserve"> </w:t>
      </w:r>
      <w:r>
        <w:t xml:space="preserve">Defense demand, commercial aerospace production and MRO activity.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Process:</w:t>
      </w:r>
      <w:r>
        <w:t xml:space="preserve"> </w:t>
      </w:r>
      <w:r>
        <w:t xml:space="preserve">Whether the project pipeline continues converting into orders and revenue.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Power:</w:t>
      </w:r>
      <w:r>
        <w:t xml:space="preserve"> </w:t>
      </w:r>
      <w:r>
        <w:t xml:space="preserve">Data centers, grid modernization, backup power, nuclear and simulation systems.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Automation and engineered solutions:</w:t>
      </w:r>
      <w:r>
        <w:t xml:space="preserve"> </w:t>
      </w:r>
      <w:r>
        <w:t xml:space="preserve">Whether strong demand remains broad-based.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Medical:</w:t>
      </w:r>
      <w:r>
        <w:t xml:space="preserve"> </w:t>
      </w:r>
      <w:r>
        <w:t xml:space="preserve">Continued performance at Paragon, balanced against tougher comparisons.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Semiconductor:</w:t>
      </w:r>
      <w:r>
        <w:t xml:space="preserve"> </w:t>
      </w:r>
      <w:r>
        <w:t xml:space="preserve">AI-related equipment demand and the durability of recent large wins.</w:t>
      </w:r>
    </w:p>
    <w:p>
      <w:pPr>
        <w:pStyle w:val="FirstParagraph"/>
      </w:pPr>
      <w:r>
        <w:t xml:space="preserve">A revenue beat driven mainly by acquisitions or currency, paired with soft organic orders, would be lower quality than a smaller headline beat accompanied by stronger organic growth and backlog.</w:t>
      </w:r>
    </w:p>
    <w:bookmarkEnd w:id="18"/>
    <w:bookmarkEnd w:id="19"/>
    <w:bookmarkStart w:id="22" w:name="indicor-is-likely-to-dominate-the-call"/>
    <w:p>
      <w:pPr>
        <w:pStyle w:val="Heading2"/>
      </w:pPr>
      <w:r>
        <w:t xml:space="preserve">Indicor is likely to dominate the call</w:t>
      </w:r>
    </w:p>
    <w:p>
      <w:pPr>
        <w:pStyle w:val="FirstParagraph"/>
      </w:pPr>
      <w:r>
        <w:t xml:space="preserve">Since AMETEK’s last earnings report, it agreed to acquire Indicor Instrumentation for approximately</w:t>
      </w:r>
      <w:r>
        <w:t xml:space="preserve"> </w:t>
      </w:r>
      <m:oMath>
        <m:r>
          <m:t>5.0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i</m:t>
        </m:r>
        <m:r>
          <m:t>n</m:t>
        </m:r>
        <m:r>
          <m:t>c</m:t>
        </m:r>
        <m:r>
          <m:t>a</m:t>
        </m:r>
        <m:r>
          <m:t>s</m:t>
        </m:r>
        <m:r>
          <m:t>h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.</m:t>
        </m:r>
        <m:r>
          <m:t>I</m:t>
        </m:r>
        <m:r>
          <m:t>n</m:t>
        </m:r>
        <m:r>
          <m:t>d</m:t>
        </m:r>
        <m:r>
          <m:t>i</m:t>
        </m:r>
        <m:r>
          <m:t>c</m:t>
        </m:r>
        <m:r>
          <m:t>o</m:t>
        </m:r>
        <m:r>
          <m:t>r</m:t>
        </m:r>
        <m:r>
          <m:t>g</m:t>
        </m:r>
        <m:r>
          <m:t>e</m:t>
        </m:r>
        <m:r>
          <m:t>n</m:t>
        </m:r>
        <m:r>
          <m:t>e</m:t>
        </m:r>
        <m:r>
          <m:t>r</m:t>
        </m:r>
        <m:r>
          <m:t>a</m:t>
        </m:r>
        <m:r>
          <m:t>t</m:t>
        </m:r>
        <m:r>
          <m:t>e</m:t>
        </m:r>
        <m:r>
          <m:t>s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1.1 billion of annual revenue</w:t>
      </w:r>
      <w:r>
        <w:t xml:space="preserve">, with approximately 50% aftermarket exposure. AMETEK described the price as roughly 14x EBITDA, expects leverage of approximately 2.3x at closing, targets annualized synergies equal to 10%–12% of sales, and expects first-year cash-EPS accretion. Closing remains targeted for the second half of 2026. (</w:t>
      </w:r>
      <w:hyperlink r:id="rId20">
        <w:r>
          <w:rPr>
            <w:rStyle w:val="Hyperlink"/>
          </w:rPr>
          <w:t xml:space="preserve">investors.ametek.com</w:t>
        </w:r>
      </w:hyperlink>
      <w:r>
        <w:t xml:space="preserve">)</w:t>
      </w:r>
    </w:p>
    <w:p>
      <w:pPr>
        <w:pStyle w:val="BodyText"/>
      </w:pPr>
      <w:r>
        <w:t xml:space="preserve">AMETEK subsequently expanded its revolver to $3.5 billion and established a $4.0 billion term-loan facility tied to the acquisition. (</w:t>
      </w:r>
      <w:hyperlink r:id="rId21">
        <w:r>
          <w:rPr>
            <w:rStyle w:val="Hyperlink"/>
          </w:rPr>
          <w:t xml:space="preserve">sec.gov</w:t>
        </w:r>
      </w:hyperlink>
      <w:r>
        <w:t xml:space="preserve">)</w:t>
      </w:r>
    </w:p>
    <w:p>
      <w:pPr>
        <w:pStyle w:val="BodyText"/>
      </w:pPr>
      <w:r>
        <w:t xml:space="preserve">Investors need updates on: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Regulatory approvals and closing timing.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Expected 2026 revenue and EPS contribution</w:t>
      </w:r>
      <w:r>
        <w:t xml:space="preserve">, based on the assumed closing date.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Interest expense and effective borrowing cost.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The pace of deleveraging</w:t>
      </w:r>
      <w:r>
        <w:t xml:space="preserve"> </w:t>
      </w:r>
      <w:r>
        <w:t xml:space="preserve">after closing.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Synergy timing</w:t>
      </w:r>
      <w:r>
        <w:t xml:space="preserve">, especially how much of the 10%–12% target is achievable in years one, two and three.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Integration structure and management capacity</w:t>
      </w:r>
      <w:r>
        <w:t xml:space="preserve"> </w:t>
      </w:r>
      <w:r>
        <w:t xml:space="preserve">given Indicor’s size.</w:t>
      </w:r>
    </w:p>
    <w:p>
      <w:pPr>
        <w:pStyle w:val="Compact"/>
        <w:numPr>
          <w:ilvl w:val="0"/>
          <w:numId w:val="1005"/>
        </w:numPr>
      </w:pPr>
      <w:r>
        <w:t xml:space="preserve">Whether leverage temporarily limits additional acquisitions or share repurchases.</w:t>
      </w:r>
    </w:p>
    <w:p>
      <w:pPr>
        <w:pStyle w:val="FirstParagraph"/>
      </w:pPr>
      <w:r>
        <w:t xml:space="preserve">The strategic rationale appears consistent with AMETEK’s historical model, but Indicor is large enough that execution and financing now matter almost as much as the standalone quarter.</w:t>
      </w:r>
    </w:p>
    <w:bookmarkEnd w:id="22"/>
    <w:bookmarkStart w:id="24" w:name="other-acquisition-contribution"/>
    <w:p>
      <w:pPr>
        <w:pStyle w:val="Heading2"/>
      </w:pPr>
      <w:r>
        <w:t xml:space="preserve">Other acquisition contribution</w:t>
      </w:r>
    </w:p>
    <w:p>
      <w:pPr>
        <w:pStyle w:val="FirstParagraph"/>
      </w:pPr>
      <w:r>
        <w:t xml:space="preserve">AMETEK completed its purchase of First Aviation Services on May 26. The business expands AMETEK’s defense-oriented aviation MRO and proprietary-components capabilities. Because it was owned for only part of Q2, its near-term contribution should be modest, but management may update its revenue contribution, integration progress and strategic fit with AMETEK’s existing MRO platform. (</w:t>
      </w:r>
      <w:hyperlink r:id="rId23">
        <w:r>
          <w:rPr>
            <w:rStyle w:val="Hyperlink"/>
          </w:rPr>
          <w:t xml:space="preserve">investors.ametek.com</w:t>
        </w:r>
      </w:hyperlink>
      <w:r>
        <w:t xml:space="preserve">)</w:t>
      </w:r>
    </w:p>
    <w:bookmarkEnd w:id="24"/>
    <w:bookmarkStart w:id="25" w:name="Xc4a73a8c2c49bcad61da7eadbc46c48af5de897"/>
    <w:p>
      <w:pPr>
        <w:pStyle w:val="Heading2"/>
      </w:pPr>
      <w:r>
        <w:t xml:space="preserve">Full-year guidance: the likely stock-moving item</w:t>
      </w:r>
    </w:p>
    <w:p>
      <w:pPr>
        <w:pStyle w:val="FirstParagraph"/>
      </w:pPr>
      <w:r>
        <w:t xml:space="preserve">Existing 2026 guidance calls for:</w:t>
      </w:r>
    </w:p>
    <w:p>
      <w:pPr>
        <w:pStyle w:val="Compact"/>
        <w:numPr>
          <w:ilvl w:val="0"/>
          <w:numId w:val="1006"/>
        </w:numPr>
      </w:pPr>
      <w:r>
        <w:t xml:space="preserve">Overall sales growth in the</w:t>
      </w:r>
      <w:r>
        <w:t xml:space="preserve"> </w:t>
      </w:r>
      <w:r>
        <w:rPr>
          <w:b/>
          <w:bCs/>
        </w:rPr>
        <w:t xml:space="preserve">high single digits</w:t>
      </w:r>
      <w:r>
        <w:t xml:space="preserve">.</w:t>
      </w:r>
    </w:p>
    <w:p>
      <w:pPr>
        <w:pStyle w:val="Compact"/>
        <w:numPr>
          <w:ilvl w:val="0"/>
          <w:numId w:val="1006"/>
        </w:numPr>
      </w:pPr>
      <w:r>
        <w:t xml:space="preserve">Organic sales growth in the</w:t>
      </w:r>
      <w:r>
        <w:t xml:space="preserve"> </w:t>
      </w:r>
      <w:r>
        <w:rPr>
          <w:b/>
          <w:bCs/>
        </w:rPr>
        <w:t xml:space="preserve">mid-single digits</w:t>
      </w:r>
      <w:r>
        <w:t xml:space="preserve">.</w:t>
      </w:r>
    </w:p>
    <w:p>
      <w:pPr>
        <w:pStyle w:val="Compact"/>
        <w:numPr>
          <w:ilvl w:val="0"/>
          <w:numId w:val="1006"/>
        </w:numPr>
      </w:pPr>
      <w:r>
        <w:t xml:space="preserve">Adjusted EPS of</w:t>
      </w:r>
      <w:r>
        <w:t xml:space="preserve"> </w:t>
      </w:r>
      <m:oMath>
        <m:r>
          <m:t>7.94</m:t>
        </m:r>
        <m:r>
          <m:rPr>
            <m:sty m:val="p"/>
          </m:rPr>
          <m:t>–</m:t>
        </m:r>
      </m:oMath>
      <w:r>
        <w:rPr>
          <w:b/>
          <w:bCs/>
        </w:rPr>
        <w:t xml:space="preserve">8.14</w:t>
      </w:r>
      <w:r>
        <w:t xml:space="preserve">.</w:t>
      </w:r>
    </w:p>
    <w:p>
      <w:pPr>
        <w:pStyle w:val="Compact"/>
        <w:numPr>
          <w:ilvl w:val="0"/>
          <w:numId w:val="1006"/>
        </w:numPr>
      </w:pPr>
      <w:r>
        <w:t xml:space="preserve">GAAP EPS of</w:t>
      </w:r>
      <w:r>
        <w:t xml:space="preserve"> </w:t>
      </w:r>
      <m:oMath>
        <m:r>
          <m:t>7.03</m:t>
        </m:r>
        <m:r>
          <m:rPr>
            <m:sty m:val="p"/>
          </m:rPr>
          <m:t>–</m:t>
        </m:r>
      </m:oMath>
      <w:r>
        <w:rPr>
          <w:b/>
          <w:bCs/>
        </w:rPr>
        <w:t xml:space="preserve">7.23</w:t>
      </w:r>
      <w:r>
        <w:t xml:space="preserve">.</w:t>
      </w:r>
    </w:p>
    <w:p>
      <w:pPr>
        <w:pStyle w:val="Compact"/>
        <w:numPr>
          <w:ilvl w:val="0"/>
          <w:numId w:val="1006"/>
        </w:numPr>
      </w:pPr>
      <w:r>
        <w:t xml:space="preserve">Free-cash-flow conversion of approximately</w:t>
      </w:r>
      <w:r>
        <w:t xml:space="preserve"> </w:t>
      </w:r>
      <w:r>
        <w:rPr>
          <w:b/>
          <w:bCs/>
        </w:rPr>
        <w:t xml:space="preserve">110%–115% of net income</w:t>
      </w:r>
      <w:r>
        <w:t xml:space="preserve">. (</w:t>
      </w:r>
      <w:hyperlink r:id="rId10">
        <w:r>
          <w:rPr>
            <w:rStyle w:val="Hyperlink"/>
          </w:rPr>
          <w:t xml:space="preserve">investors.ametek.com</w:t>
        </w:r>
      </w:hyperlink>
      <w:r>
        <w:t xml:space="preserve">)</w:t>
      </w:r>
    </w:p>
    <w:p>
      <w:pPr>
        <w:pStyle w:val="FirstParagraph"/>
      </w:pPr>
      <w:r>
        <w:t xml:space="preserve">AMETEK raised EPS guidance by $0.07 at the midpoint after Q1. With consensus already near the top of the Q2 range and the stock carrying a premium multiple, another modest raise may be necessary to produce a clearly positive reaction.</w:t>
      </w:r>
    </w:p>
    <w:p>
      <w:pPr>
        <w:pStyle w:val="BodyText"/>
      </w:pPr>
      <w:r>
        <w:t xml:space="preserve">The most useful guidance disclosure would separate:</w:t>
      </w:r>
    </w:p>
    <w:p>
      <w:pPr>
        <w:pStyle w:val="Compact"/>
        <w:numPr>
          <w:ilvl w:val="0"/>
          <w:numId w:val="1007"/>
        </w:numPr>
      </w:pPr>
      <w:r>
        <w:t xml:space="preserve">The underlying or “standalone” AMETEK outlook.</w:t>
      </w:r>
    </w:p>
    <w:p>
      <w:pPr>
        <w:pStyle w:val="Compact"/>
        <w:numPr>
          <w:ilvl w:val="0"/>
          <w:numId w:val="1007"/>
        </w:numPr>
      </w:pPr>
      <w:r>
        <w:t xml:space="preserve">Contributions from completed smaller acquisitions.</w:t>
      </w:r>
    </w:p>
    <w:p>
      <w:pPr>
        <w:pStyle w:val="Compact"/>
        <w:numPr>
          <w:ilvl w:val="0"/>
          <w:numId w:val="1007"/>
        </w:numPr>
      </w:pPr>
      <w:r>
        <w:t xml:space="preserve">Any Indicor contribution based on an assumed closing date.</w:t>
      </w:r>
    </w:p>
    <w:p>
      <w:pPr>
        <w:pStyle w:val="Compact"/>
        <w:numPr>
          <w:ilvl w:val="0"/>
          <w:numId w:val="1007"/>
        </w:numPr>
      </w:pPr>
      <w:r>
        <w:t xml:space="preserve">Incremental interest and integration expenses.</w:t>
      </w:r>
    </w:p>
    <w:p>
      <w:pPr>
        <w:pStyle w:val="Compact"/>
        <w:numPr>
          <w:ilvl w:val="0"/>
          <w:numId w:val="1007"/>
        </w:numPr>
      </w:pPr>
      <w:r>
        <w:t xml:space="preserve">Acquisition-related amortization excluded from adjusted EPS.</w:t>
      </w:r>
    </w:p>
    <w:bookmarkEnd w:id="25"/>
    <w:bookmarkStart w:id="29" w:name="what-would-constitute-a-good-report"/>
    <w:p>
      <w:pPr>
        <w:pStyle w:val="Heading2"/>
      </w:pPr>
      <w:r>
        <w:t xml:space="preserve">What would constitute a good report?</w:t>
      </w:r>
    </w:p>
    <w:bookmarkStart w:id="26" w:name="bullish-outcome"/>
    <w:p>
      <w:pPr>
        <w:pStyle w:val="Heading3"/>
      </w:pPr>
      <w:r>
        <w:t xml:space="preserve">Bullish outcome</w:t>
      </w:r>
    </w:p>
    <w:p>
      <w:pPr>
        <w:pStyle w:val="Compact"/>
        <w:numPr>
          <w:ilvl w:val="0"/>
          <w:numId w:val="1008"/>
        </w:numPr>
      </w:pPr>
      <w:r>
        <w:t xml:space="preserve">Adjusted EPS above</w:t>
      </w:r>
      <w:r>
        <w:t xml:space="preserve"> </w:t>
      </w:r>
      <w:r>
        <w:rPr>
          <w:b/>
          <w:bCs/>
        </w:rPr>
        <w:t xml:space="preserve">$2.00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t xml:space="preserve">Revenue above approximately</w:t>
      </w:r>
      <w:r>
        <w:t xml:space="preserve"> </w:t>
      </w:r>
      <w:r>
        <w:rPr>
          <w:b/>
          <w:bCs/>
        </w:rPr>
        <w:t xml:space="preserve">$1.96 billion</w:t>
      </w:r>
      <w:r>
        <w:t xml:space="preserve">, with solid organic growth.</w:t>
      </w:r>
    </w:p>
    <w:p>
      <w:pPr>
        <w:pStyle w:val="Compact"/>
        <w:numPr>
          <w:ilvl w:val="0"/>
          <w:numId w:val="1008"/>
        </w:numPr>
      </w:pPr>
      <w:r>
        <w:t xml:space="preserve">Orders remain comfortably positive despite the difficult Q1 comparison.</w:t>
      </w:r>
    </w:p>
    <w:p>
      <w:pPr>
        <w:pStyle w:val="Compact"/>
        <w:numPr>
          <w:ilvl w:val="0"/>
          <w:numId w:val="1008"/>
        </w:numPr>
      </w:pPr>
      <w:r>
        <w:t xml:space="preserve">EIG revenue begins catching up with orders.</w:t>
      </w:r>
    </w:p>
    <w:p>
      <w:pPr>
        <w:pStyle w:val="Compact"/>
        <w:numPr>
          <w:ilvl w:val="0"/>
          <w:numId w:val="1008"/>
        </w:numPr>
      </w:pPr>
      <w:r>
        <w:t xml:space="preserve">EMG retains most of its margin gains.</w:t>
      </w:r>
    </w:p>
    <w:p>
      <w:pPr>
        <w:pStyle w:val="Compact"/>
        <w:numPr>
          <w:ilvl w:val="0"/>
          <w:numId w:val="1008"/>
        </w:numPr>
      </w:pPr>
      <w:r>
        <w:t xml:space="preserve">Standalone full-year guidance is raised.</w:t>
      </w:r>
    </w:p>
    <w:p>
      <w:pPr>
        <w:pStyle w:val="Compact"/>
        <w:numPr>
          <w:ilvl w:val="0"/>
          <w:numId w:val="1008"/>
        </w:numPr>
      </w:pPr>
      <w:r>
        <w:t xml:space="preserve">Indicor remains on schedule, with financing and synergy assumptions reaffirmed.</w:t>
      </w:r>
    </w:p>
    <w:bookmarkEnd w:id="26"/>
    <w:bookmarkStart w:id="27" w:name="in-line-outcome"/>
    <w:p>
      <w:pPr>
        <w:pStyle w:val="Heading3"/>
      </w:pPr>
      <w:r>
        <w:t xml:space="preserve">In-line outcome</w:t>
      </w:r>
    </w:p>
    <w:p>
      <w:pPr>
        <w:pStyle w:val="Compact"/>
        <w:numPr>
          <w:ilvl w:val="0"/>
          <w:numId w:val="1009"/>
        </w:numPr>
      </w:pPr>
      <w:r>
        <w:t xml:space="preserve">Adjusted EPS of</w:t>
      </w:r>
      <w:r>
        <w:t xml:space="preserve"> </w:t>
      </w:r>
      <m:oMath>
        <m:r>
          <m:t>1.98</m:t>
        </m:r>
        <m:r>
          <m:rPr>
            <m:sty m:val="p"/>
          </m:rPr>
          <m:t>–</m:t>
        </m:r>
      </m:oMath>
      <w:r>
        <w:rPr>
          <w:b/>
          <w:bCs/>
        </w:rPr>
        <w:t xml:space="preserve">2.00</w:t>
      </w:r>
      <w:r>
        <w:t xml:space="preserve">.</w:t>
      </w:r>
    </w:p>
    <w:p>
      <w:pPr>
        <w:pStyle w:val="Compact"/>
        <w:numPr>
          <w:ilvl w:val="0"/>
          <w:numId w:val="1009"/>
        </w:numPr>
      </w:pPr>
      <w:r>
        <w:t xml:space="preserve">Revenue near</w:t>
      </w:r>
      <w:r>
        <w:t xml:space="preserve"> </w:t>
      </w:r>
      <m:oMath>
        <m:r>
          <m:t>1.95</m:t>
        </m:r>
        <m:r>
          <m:rPr>
            <m:sty m:val="p"/>
          </m:rPr>
          <m:t>–</m:t>
        </m:r>
      </m:oMath>
      <w:r>
        <w:rPr>
          <w:b/>
          <w:bCs/>
        </w:rPr>
        <w:t xml:space="preserve">1.97 billion</w:t>
      </w:r>
      <w:r>
        <w:t xml:space="preserve">.</w:t>
      </w:r>
    </w:p>
    <w:p>
      <w:pPr>
        <w:pStyle w:val="Compact"/>
        <w:numPr>
          <w:ilvl w:val="0"/>
          <w:numId w:val="1009"/>
        </w:numPr>
      </w:pPr>
      <w:r>
        <w:t xml:space="preserve">Orders normalize but remain healthy.</w:t>
      </w:r>
    </w:p>
    <w:p>
      <w:pPr>
        <w:pStyle w:val="Compact"/>
        <w:numPr>
          <w:ilvl w:val="0"/>
          <w:numId w:val="1009"/>
        </w:numPr>
      </w:pPr>
      <w:r>
        <w:t xml:space="preserve">Full-year guidance is maintained or raised only slightly.</w:t>
      </w:r>
    </w:p>
    <w:p>
      <w:pPr>
        <w:pStyle w:val="Compact"/>
        <w:numPr>
          <w:ilvl w:val="0"/>
          <w:numId w:val="1009"/>
        </w:numPr>
      </w:pPr>
      <w:r>
        <w:t xml:space="preserve">No change to Indicor timing.</w:t>
      </w:r>
    </w:p>
    <w:p>
      <w:pPr>
        <w:pStyle w:val="FirstParagraph"/>
      </w:pPr>
      <w:r>
        <w:t xml:space="preserve">This would be operationally respectable, but the share-price response could be muted given the valuation.</w:t>
      </w:r>
    </w:p>
    <w:bookmarkEnd w:id="27"/>
    <w:bookmarkStart w:id="28" w:name="bearish-outcome"/>
    <w:p>
      <w:pPr>
        <w:pStyle w:val="Heading3"/>
      </w:pPr>
      <w:r>
        <w:t xml:space="preserve">Bearish outcome</w:t>
      </w:r>
    </w:p>
    <w:p>
      <w:pPr>
        <w:pStyle w:val="Compact"/>
        <w:numPr>
          <w:ilvl w:val="0"/>
          <w:numId w:val="1010"/>
        </w:numPr>
      </w:pPr>
      <w:r>
        <w:t xml:space="preserve">Adjusted EPS below</w:t>
      </w:r>
      <w:r>
        <w:t xml:space="preserve"> </w:t>
      </w:r>
      <w:r>
        <w:rPr>
          <w:b/>
          <w:bCs/>
        </w:rPr>
        <w:t xml:space="preserve">$1.96</w:t>
      </w:r>
      <w:r>
        <w:t xml:space="preserve">.</w:t>
      </w:r>
    </w:p>
    <w:p>
      <w:pPr>
        <w:pStyle w:val="Compact"/>
        <w:numPr>
          <w:ilvl w:val="0"/>
          <w:numId w:val="1010"/>
        </w:numPr>
      </w:pPr>
      <w:r>
        <w:t xml:space="preserve">Organic revenue or orders weaken materially.</w:t>
      </w:r>
    </w:p>
    <w:p>
      <w:pPr>
        <w:pStyle w:val="Compact"/>
        <w:numPr>
          <w:ilvl w:val="0"/>
          <w:numId w:val="1010"/>
        </w:numPr>
      </w:pPr>
      <w:r>
        <w:t xml:space="preserve">EIG’s expected recovery is delayed without a backlog offset.</w:t>
      </w:r>
    </w:p>
    <w:p>
      <w:pPr>
        <w:pStyle w:val="Compact"/>
        <w:numPr>
          <w:ilvl w:val="0"/>
          <w:numId w:val="1010"/>
        </w:numPr>
      </w:pPr>
      <w:r>
        <w:t xml:space="preserve">EMG margin expansion reverses more sharply than expected.</w:t>
      </w:r>
    </w:p>
    <w:p>
      <w:pPr>
        <w:pStyle w:val="Compact"/>
        <w:numPr>
          <w:ilvl w:val="0"/>
          <w:numId w:val="1010"/>
        </w:numPr>
      </w:pPr>
      <w:r>
        <w:t xml:space="preserve">Standalone guidance is unchanged despite a nominal beat, suggesting more second-half caution.</w:t>
      </w:r>
    </w:p>
    <w:p>
      <w:pPr>
        <w:pStyle w:val="Compact"/>
        <w:numPr>
          <w:ilvl w:val="0"/>
          <w:numId w:val="1010"/>
        </w:numPr>
      </w:pPr>
      <w:r>
        <w:t xml:space="preserve">Indicor closing is delayed, financing costs rise, or synergy expectations become less certain.</w:t>
      </w:r>
    </w:p>
    <w:bookmarkEnd w:id="28"/>
    <w:bookmarkEnd w:id="29"/>
    <w:bookmarkStart w:id="30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AMETEK’s fundamental setup is strong: record orders, broad exposure to attractive industrial markets, high margins, strong cash generation and a potentially meaningful new earnings engine in Indicor. The central issue is</w:t>
      </w:r>
      <w:r>
        <w:t xml:space="preserve"> </w:t>
      </w:r>
      <w:r>
        <w:rPr>
          <w:b/>
          <w:bCs/>
        </w:rPr>
        <w:t xml:space="preserve">expectations</w:t>
      </w:r>
      <w:r>
        <w:t xml:space="preserve">.</w:t>
      </w:r>
    </w:p>
    <w:p>
      <w:pPr>
        <w:pStyle w:val="BodyText"/>
      </w:pPr>
      <w:r>
        <w:t xml:space="preserve">For the stock to respond positively, AMETEK likely needs more than an adjusted-EPS result near $1.99. The higher-quality outcome would combine:</w:t>
      </w:r>
    </w:p>
    <w:p>
      <w:pPr>
        <w:pStyle w:val="Compact"/>
        <w:numPr>
          <w:ilvl w:val="0"/>
          <w:numId w:val="1011"/>
        </w:numPr>
      </w:pPr>
      <w:r>
        <w:t xml:space="preserve">An earnings beat above the prior $2.00 ceiling.</w:t>
      </w:r>
    </w:p>
    <w:p>
      <w:pPr>
        <w:pStyle w:val="Compact"/>
        <w:numPr>
          <w:ilvl w:val="0"/>
          <w:numId w:val="1011"/>
        </w:numPr>
      </w:pPr>
      <w:r>
        <w:t xml:space="preserve">Continued organic order and backlog strength.</w:t>
      </w:r>
    </w:p>
    <w:p>
      <w:pPr>
        <w:pStyle w:val="Compact"/>
        <w:numPr>
          <w:ilvl w:val="0"/>
          <w:numId w:val="1011"/>
        </w:numPr>
      </w:pPr>
      <w:r>
        <w:t xml:space="preserve">Evidence that EIG’s order inflection is becoming revenue.</w:t>
      </w:r>
    </w:p>
    <w:p>
      <w:pPr>
        <w:pStyle w:val="Compact"/>
        <w:numPr>
          <w:ilvl w:val="0"/>
          <w:numId w:val="1011"/>
        </w:numPr>
      </w:pPr>
      <w:r>
        <w:t xml:space="preserve">Durable EMG margins.</w:t>
      </w:r>
    </w:p>
    <w:p>
      <w:pPr>
        <w:pStyle w:val="Compact"/>
        <w:numPr>
          <w:ilvl w:val="0"/>
          <w:numId w:val="1011"/>
        </w:numPr>
      </w:pPr>
      <w:r>
        <w:t xml:space="preserve">Higher standalone 2026 guidance.</w:t>
      </w:r>
    </w:p>
    <w:p>
      <w:pPr>
        <w:pStyle w:val="Compact"/>
        <w:numPr>
          <w:ilvl w:val="0"/>
          <w:numId w:val="1011"/>
        </w:numPr>
      </w:pPr>
      <w:r>
        <w:t xml:space="preserve">A credible and increasingly detailed Indicor integration and deleveraging plan.</w:t>
      </w:r>
    </w:p>
    <w:p>
      <w:pPr>
        <w:pStyle w:val="FirstParagraph"/>
      </w:pPr>
      <w:r>
        <w:t xml:space="preserve">At approximately 30x the midpoint of current adjusted-EPS guidance, the report is less about whether AMETEK is performing well—it clearly has been—and more about whether earnings expectations can continue moving higher fast enough to support the valuation.</w:t>
      </w:r>
    </w:p>
    <w:bookmarkEnd w:id="30"/>
    <w:bookmarkEnd w:id="3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https://ametekinc.gcs-web.com/node/5816?utm_source=openai" TargetMode="External" /><Relationship Type="http://schemas.openxmlformats.org/officeDocument/2006/relationships/hyperlink" Id="rId20" Target="https://investors.ametek.com/news-releases/news-release-details/ametek-announces-agreement-acquire-indicor-instrumentation?utm_source=openai" TargetMode="External" /><Relationship Type="http://schemas.openxmlformats.org/officeDocument/2006/relationships/hyperlink" Id="rId10" Target="https://investors.ametek.com/news-releases/news-release-details/ametek-announces-record-first-quarter-2026-results-and-raises?utm_source=openai" TargetMode="External" /><Relationship Type="http://schemas.openxmlformats.org/officeDocument/2006/relationships/hyperlink" Id="rId23" Target="https://investors.ametek.com/static-files/63769d3b-3b64-451f-858e-44e3a23837af?utm_source=openai" TargetMode="External" /><Relationship Type="http://schemas.openxmlformats.org/officeDocument/2006/relationships/hyperlink" Id="rId12" Target="https://www.benzinga.com/quote/AME/earnings" TargetMode="External" /><Relationship Type="http://schemas.openxmlformats.org/officeDocument/2006/relationships/hyperlink" Id="rId21" Target="https://www.sec.gov/Archives/edgar/data/1037868/000103786826000166/ame-20260609.htm?utm_source=openai" TargetMode="External" /><Relationship Type="http://schemas.openxmlformats.org/officeDocument/2006/relationships/hyperlink" Id="rId16" Target="https://www.tipranks.com/stocks/ame/earnings/q1-2026-report?utm_source=opena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https://ametekinc.gcs-web.com/node/5816?utm_source=openai" TargetMode="External" /><Relationship Type="http://schemas.openxmlformats.org/officeDocument/2006/relationships/hyperlink" Id="rId20" Target="https://investors.ametek.com/news-releases/news-release-details/ametek-announces-agreement-acquire-indicor-instrumentation?utm_source=openai" TargetMode="External" /><Relationship Type="http://schemas.openxmlformats.org/officeDocument/2006/relationships/hyperlink" Id="rId10" Target="https://investors.ametek.com/news-releases/news-release-details/ametek-announces-record-first-quarter-2026-results-and-raises?utm_source=openai" TargetMode="External" /><Relationship Type="http://schemas.openxmlformats.org/officeDocument/2006/relationships/hyperlink" Id="rId23" Target="https://investors.ametek.com/static-files/63769d3b-3b64-451f-858e-44e3a23837af?utm_source=openai" TargetMode="External" /><Relationship Type="http://schemas.openxmlformats.org/officeDocument/2006/relationships/hyperlink" Id="rId12" Target="https://www.benzinga.com/quote/AME/earnings" TargetMode="External" /><Relationship Type="http://schemas.openxmlformats.org/officeDocument/2006/relationships/hyperlink" Id="rId21" Target="https://www.sec.gov/Archives/edgar/data/1037868/000103786826000166/ame-20260609.htm?utm_source=openai" TargetMode="External" /><Relationship Type="http://schemas.openxmlformats.org/officeDocument/2006/relationships/hyperlink" Id="rId16" Target="https://www.tipranks.com/stocks/ame/earnings/q1-2026-report?utm_source=opena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2026-08-04T00:36:29Z</dcterms:created>
  <dcterms:modified xsi:type="dcterms:W3CDTF">2026-08-04T00:36:29Z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